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1963" w14:textId="216F6F4A" w:rsidR="0099371C" w:rsidRPr="008F7D89" w:rsidRDefault="008F7D89" w:rsidP="00D3749C">
      <w:pPr>
        <w:pStyle w:val="Heading1"/>
        <w:rPr>
          <w:lang w:val="ro-RO"/>
        </w:rPr>
      </w:pPr>
      <w:r w:rsidRPr="008F7D89">
        <w:rPr>
          <w:lang w:val="ro-RO"/>
        </w:rPr>
        <w:t>Motivații și considerații pentru schimbare</w:t>
      </w:r>
    </w:p>
    <w:p w14:paraId="32154B87" w14:textId="42648498" w:rsidR="00531D0D" w:rsidRPr="008F7D89" w:rsidRDefault="008F7D89" w:rsidP="00531D0D">
      <w:pPr>
        <w:rPr>
          <w:strike/>
          <w:lang w:val="ro-RO"/>
        </w:rPr>
      </w:pPr>
      <w:r w:rsidRPr="008F7D89">
        <w:rPr>
          <w:lang w:val="ro-RO"/>
        </w:rPr>
        <w:t>Atunci când introd</w:t>
      </w:r>
      <w:bookmarkStart w:id="0" w:name="_GoBack"/>
      <w:bookmarkEnd w:id="0"/>
      <w:r w:rsidRPr="008F7D89">
        <w:rPr>
          <w:lang w:val="ro-RO"/>
        </w:rPr>
        <w:t>uc</w:t>
      </w:r>
      <w:r w:rsidR="00B8174D">
        <w:rPr>
          <w:lang w:val="ro-RO"/>
        </w:rPr>
        <w:t>i</w:t>
      </w:r>
      <w:r w:rsidRPr="008F7D89">
        <w:rPr>
          <w:lang w:val="ro-RO"/>
        </w:rPr>
        <w:t xml:space="preserve"> schimbări</w:t>
      </w:r>
      <w:r w:rsidR="0099371C" w:rsidRPr="008F7D89">
        <w:rPr>
          <w:lang w:val="ro-RO"/>
        </w:rPr>
        <w:t xml:space="preserve"> </w:t>
      </w:r>
      <w:r w:rsidRPr="008F7D89">
        <w:rPr>
          <w:lang w:val="ro-RO"/>
        </w:rPr>
        <w:t xml:space="preserve">în cadrul </w:t>
      </w:r>
      <w:r w:rsidR="00B8174D">
        <w:rPr>
          <w:lang w:val="ro-RO"/>
        </w:rPr>
        <w:t>întreprinderii</w:t>
      </w:r>
      <w:r w:rsidR="0099371C" w:rsidRPr="008F7D89">
        <w:rPr>
          <w:lang w:val="ro-RO"/>
        </w:rPr>
        <w:t>,</w:t>
      </w:r>
      <w:r w:rsidRPr="008F7D89">
        <w:rPr>
          <w:lang w:val="ro-RO"/>
        </w:rPr>
        <w:t xml:space="preserve"> e necesar să înțeleg</w:t>
      </w:r>
      <w:r w:rsidR="00B8174D">
        <w:rPr>
          <w:lang w:val="ro-RO"/>
        </w:rPr>
        <w:t>i</w:t>
      </w:r>
      <w:r w:rsidR="0099371C" w:rsidRPr="008F7D89">
        <w:rPr>
          <w:lang w:val="ro-RO"/>
        </w:rPr>
        <w:t xml:space="preserve"> </w:t>
      </w:r>
      <w:r w:rsidRPr="008F7D89">
        <w:rPr>
          <w:lang w:val="ro-RO"/>
        </w:rPr>
        <w:t xml:space="preserve">diferiți factori care ar motiva angajații </w:t>
      </w:r>
      <w:r w:rsidR="00B8174D">
        <w:rPr>
          <w:lang w:val="ro-RO"/>
        </w:rPr>
        <w:t>tăi</w:t>
      </w:r>
      <w:r w:rsidR="00C56904">
        <w:rPr>
          <w:lang w:val="ro-RO"/>
        </w:rPr>
        <w:t xml:space="preserve">, </w:t>
      </w:r>
      <w:r w:rsidRPr="008F7D89">
        <w:rPr>
          <w:lang w:val="ro-RO"/>
        </w:rPr>
        <w:t xml:space="preserve"> și cum aceștia afectează abilitatea </w:t>
      </w:r>
      <w:r w:rsidR="00B8174D">
        <w:rPr>
          <w:lang w:val="ro-RO"/>
        </w:rPr>
        <w:t>ta</w:t>
      </w:r>
      <w:r w:rsidRPr="008F7D89">
        <w:rPr>
          <w:lang w:val="ro-RO"/>
        </w:rPr>
        <w:t xml:space="preserve"> </w:t>
      </w:r>
      <w:r w:rsidR="00D533C5">
        <w:rPr>
          <w:lang w:val="ro-RO"/>
        </w:rPr>
        <w:t>de a</w:t>
      </w:r>
      <w:r w:rsidRPr="008F7D89">
        <w:rPr>
          <w:lang w:val="ro-RO"/>
        </w:rPr>
        <w:t xml:space="preserve"> implementa aceste schimbări</w:t>
      </w:r>
      <w:r w:rsidR="0099371C" w:rsidRPr="008F7D89">
        <w:rPr>
          <w:lang w:val="ro-RO"/>
        </w:rPr>
        <w:t>.</w:t>
      </w:r>
      <w:r w:rsidR="007409D2" w:rsidRPr="008F7D89">
        <w:rPr>
          <w:lang w:val="ro-RO"/>
        </w:rPr>
        <w:t xml:space="preserve"> </w:t>
      </w:r>
      <w:r>
        <w:rPr>
          <w:lang w:val="ro-RO"/>
        </w:rPr>
        <w:t>Acești factori, în linii generale, pot fi grupați în două categorii</w:t>
      </w:r>
      <w:r w:rsidR="007409D2" w:rsidRPr="008F7D89">
        <w:rPr>
          <w:lang w:val="ro-RO"/>
        </w:rPr>
        <w:t xml:space="preserve">. </w:t>
      </w:r>
      <w:r w:rsidRPr="008F7D89">
        <w:rPr>
          <w:lang w:val="ro-RO"/>
        </w:rPr>
        <w:t xml:space="preserve">Frica poate motiva sau </w:t>
      </w:r>
      <w:r w:rsidR="00D533C5">
        <w:rPr>
          <w:lang w:val="ro-RO"/>
        </w:rPr>
        <w:t>stânj</w:t>
      </w:r>
      <w:r w:rsidR="00C51E33">
        <w:rPr>
          <w:lang w:val="ro-RO"/>
        </w:rPr>
        <w:t>en</w:t>
      </w:r>
      <w:r w:rsidR="00D533C5">
        <w:rPr>
          <w:lang w:val="ro-RO"/>
        </w:rPr>
        <w:t>i</w:t>
      </w:r>
      <w:r w:rsidRPr="008F7D89">
        <w:rPr>
          <w:lang w:val="ro-RO"/>
        </w:rPr>
        <w:t xml:space="preserve"> angajații, în timp ce entuziasmul </w:t>
      </w:r>
      <w:r w:rsidR="00D533C5" w:rsidRPr="008F7D89">
        <w:rPr>
          <w:lang w:val="ro-RO"/>
        </w:rPr>
        <w:t>de obicei</w:t>
      </w:r>
      <w:r w:rsidR="00D533C5">
        <w:rPr>
          <w:lang w:val="ro-RO"/>
        </w:rPr>
        <w:t xml:space="preserve">, </w:t>
      </w:r>
      <w:r w:rsidRPr="008F7D89">
        <w:rPr>
          <w:lang w:val="ro-RO"/>
        </w:rPr>
        <w:t>îi motivează.</w:t>
      </w:r>
      <w:r w:rsidR="0099371C" w:rsidRPr="008F7D89">
        <w:rPr>
          <w:lang w:val="ro-RO"/>
        </w:rPr>
        <w:t xml:space="preserve"> </w:t>
      </w:r>
      <w:r>
        <w:rPr>
          <w:lang w:val="ro-RO"/>
        </w:rPr>
        <w:t>Aplic</w:t>
      </w:r>
      <w:r w:rsidR="00B8174D">
        <w:rPr>
          <w:lang w:val="ro-RO"/>
        </w:rPr>
        <w:t>ă</w:t>
      </w:r>
      <w:r>
        <w:rPr>
          <w:lang w:val="ro-RO"/>
        </w:rPr>
        <w:t xml:space="preserve"> înțelegerea acestor factori atunci când comunic</w:t>
      </w:r>
      <w:r w:rsidR="00B8174D">
        <w:rPr>
          <w:lang w:val="ro-RO"/>
        </w:rPr>
        <w:t>i</w:t>
      </w:r>
      <w:r>
        <w:rPr>
          <w:lang w:val="ro-RO"/>
        </w:rPr>
        <w:t xml:space="preserve"> și implement</w:t>
      </w:r>
      <w:r w:rsidR="00B8174D">
        <w:rPr>
          <w:lang w:val="ro-RO"/>
        </w:rPr>
        <w:t>ezi</w:t>
      </w:r>
      <w:r>
        <w:rPr>
          <w:lang w:val="ro-RO"/>
        </w:rPr>
        <w:t xml:space="preserve"> schimbările pentru a încuraja angajații să accepte planuri </w:t>
      </w:r>
      <w:r w:rsidR="00F63821">
        <w:rPr>
          <w:lang w:val="ro-RO"/>
        </w:rPr>
        <w:t xml:space="preserve">noi și să </w:t>
      </w:r>
      <w:r w:rsidR="00F63821" w:rsidRPr="00F63821">
        <w:rPr>
          <w:lang w:val="ro-RO"/>
        </w:rPr>
        <w:t>lucreze în vederea realizării acestora</w:t>
      </w:r>
      <w:r w:rsidR="00F63821">
        <w:rPr>
          <w:lang w:val="ro-RO"/>
        </w:rPr>
        <w:t>.</w:t>
      </w: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1704"/>
        <w:gridCol w:w="7690"/>
      </w:tblGrid>
      <w:tr w:rsidR="00D3749C" w:rsidRPr="008F7D89" w14:paraId="6E572CA0" w14:textId="77777777" w:rsidTr="007B17CA">
        <w:trPr>
          <w:trHeight w:val="314"/>
        </w:trPr>
        <w:tc>
          <w:tcPr>
            <w:tcW w:w="1704" w:type="dxa"/>
            <w:shd w:val="clear" w:color="auto" w:fill="B4C6E7" w:themeFill="accent1" w:themeFillTint="66"/>
          </w:tcPr>
          <w:p w14:paraId="0C4786E7" w14:textId="3CAC74A7" w:rsidR="00D3749C" w:rsidRPr="008F7D89" w:rsidRDefault="00D71EF9" w:rsidP="00D3749C">
            <w:pPr>
              <w:rPr>
                <w:b/>
                <w:bCs/>
                <w:lang w:val="ro-RO"/>
              </w:rPr>
            </w:pPr>
            <w:r w:rsidRPr="008F7D89">
              <w:rPr>
                <w:b/>
                <w:bCs/>
                <w:lang w:val="ro-RO"/>
              </w:rPr>
              <w:t>Motiva</w:t>
            </w:r>
            <w:r w:rsidR="00F63821">
              <w:rPr>
                <w:b/>
                <w:bCs/>
                <w:lang w:val="ro-RO"/>
              </w:rPr>
              <w:t>ție</w:t>
            </w:r>
          </w:p>
        </w:tc>
        <w:tc>
          <w:tcPr>
            <w:tcW w:w="7690" w:type="dxa"/>
            <w:shd w:val="clear" w:color="auto" w:fill="B4C6E7" w:themeFill="accent1" w:themeFillTint="66"/>
          </w:tcPr>
          <w:p w14:paraId="2F0F059D" w14:textId="3CF08D4B" w:rsidR="00D3749C" w:rsidRPr="008F7D89" w:rsidRDefault="00F63821" w:rsidP="00341277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Exemple</w:t>
            </w:r>
          </w:p>
        </w:tc>
      </w:tr>
      <w:tr w:rsidR="00D3749C" w:rsidRPr="008F7D89" w14:paraId="269A42BF" w14:textId="77777777" w:rsidTr="007B17CA">
        <w:trPr>
          <w:trHeight w:val="314"/>
        </w:trPr>
        <w:tc>
          <w:tcPr>
            <w:tcW w:w="1704" w:type="dxa"/>
            <w:vMerge w:val="restart"/>
            <w:shd w:val="clear" w:color="auto" w:fill="B4C6E7" w:themeFill="accent1" w:themeFillTint="66"/>
          </w:tcPr>
          <w:p w14:paraId="2157F91A" w14:textId="3FAFA7BF" w:rsidR="00D3749C" w:rsidRPr="008F7D89" w:rsidRDefault="00F63821" w:rsidP="00D3749C">
            <w:pPr>
              <w:rPr>
                <w:lang w:val="ro-RO"/>
              </w:rPr>
            </w:pPr>
            <w:r>
              <w:rPr>
                <w:lang w:val="ro-RO"/>
              </w:rPr>
              <w:t>Frică</w:t>
            </w:r>
          </w:p>
        </w:tc>
        <w:tc>
          <w:tcPr>
            <w:tcW w:w="7690" w:type="dxa"/>
          </w:tcPr>
          <w:p w14:paraId="46FC2167" w14:textId="64377E32" w:rsidR="00CD03DF" w:rsidRPr="008F7D89" w:rsidRDefault="00F63821" w:rsidP="00D3749C">
            <w:pPr>
              <w:rPr>
                <w:lang w:val="ro-RO"/>
              </w:rPr>
            </w:pPr>
            <w:r>
              <w:rPr>
                <w:lang w:val="ro-RO"/>
              </w:rPr>
              <w:t>Situație pentru schimbare</w:t>
            </w:r>
          </w:p>
          <w:p w14:paraId="519A46C8" w14:textId="609E0DAA" w:rsidR="00CD03DF" w:rsidRPr="008F7D89" w:rsidRDefault="00F63821" w:rsidP="00CD03DF">
            <w:pPr>
              <w:pStyle w:val="ListParagraph"/>
              <w:numPr>
                <w:ilvl w:val="0"/>
                <w:numId w:val="12"/>
              </w:numPr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Oamenii tind să fie speriați de medii schimbătoare și modificarea practicelor curent</w:t>
            </w:r>
            <w:r w:rsidR="00C56904">
              <w:rPr>
                <w:iCs/>
                <w:lang w:val="ro-RO"/>
              </w:rPr>
              <w:t>e</w:t>
            </w:r>
            <w:r>
              <w:rPr>
                <w:iCs/>
                <w:lang w:val="ro-RO"/>
              </w:rPr>
              <w:t>, de aceea vor lucra pentru menținerea acestora</w:t>
            </w:r>
            <w:r w:rsidR="00C417D9" w:rsidRPr="008F7D89">
              <w:rPr>
                <w:iCs/>
                <w:lang w:val="ro-RO"/>
              </w:rPr>
              <w:t>.</w:t>
            </w:r>
          </w:p>
        </w:tc>
      </w:tr>
      <w:tr w:rsidR="00D3749C" w:rsidRPr="008F7D89" w14:paraId="326F4C74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06FF55EF" w14:textId="77777777" w:rsidR="00D3749C" w:rsidRPr="008F7D89" w:rsidRDefault="00D3749C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0C905C50" w14:textId="399F07E8" w:rsidR="00CD03DF" w:rsidRPr="008F7D89" w:rsidRDefault="00F63821" w:rsidP="00D3749C">
            <w:pPr>
              <w:rPr>
                <w:lang w:val="ro-RO"/>
              </w:rPr>
            </w:pPr>
            <w:r>
              <w:rPr>
                <w:lang w:val="ro-RO"/>
              </w:rPr>
              <w:t xml:space="preserve">Întâlniri individuale </w:t>
            </w:r>
            <w:r w:rsidR="00260314">
              <w:rPr>
                <w:lang w:val="ro-RO"/>
              </w:rPr>
              <w:t xml:space="preserve">cu membrii </w:t>
            </w:r>
            <w:r>
              <w:rPr>
                <w:lang w:val="ro-RO"/>
              </w:rPr>
              <w:t>conducerii</w:t>
            </w:r>
          </w:p>
          <w:p w14:paraId="19321C2B" w14:textId="1C9C52C7" w:rsidR="00CD03DF" w:rsidRPr="008F7D89" w:rsidRDefault="00F63821" w:rsidP="00CD03DF">
            <w:pPr>
              <w:pStyle w:val="ListParagraph"/>
              <w:numPr>
                <w:ilvl w:val="0"/>
                <w:numId w:val="12"/>
              </w:numPr>
              <w:rPr>
                <w:iCs/>
                <w:lang w:val="ro-RO"/>
              </w:rPr>
            </w:pPr>
            <w:r>
              <w:rPr>
                <w:iCs/>
                <w:lang w:val="ro-RO"/>
              </w:rPr>
              <w:t xml:space="preserve">Oamenii ar putea prefera să evite întâlnirile directe </w:t>
            </w:r>
            <w:r w:rsidR="00C56904">
              <w:rPr>
                <w:iCs/>
                <w:lang w:val="ro-RO"/>
              </w:rPr>
              <w:t xml:space="preserve">cu membrii </w:t>
            </w:r>
            <w:r>
              <w:rPr>
                <w:iCs/>
                <w:lang w:val="ro-RO"/>
              </w:rPr>
              <w:t>conducerii dacă acestora le e frică de ceea ce va fi spus în cadrul acestora.</w:t>
            </w:r>
          </w:p>
        </w:tc>
      </w:tr>
      <w:tr w:rsidR="00D3749C" w:rsidRPr="008F7D89" w14:paraId="03854A1B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72D4C5C5" w14:textId="77777777" w:rsidR="00D3749C" w:rsidRPr="008F7D89" w:rsidRDefault="00D3749C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42554A73" w14:textId="2D2508D3" w:rsidR="00F63821" w:rsidRPr="008F7D89" w:rsidRDefault="00F63821" w:rsidP="00F63821">
            <w:pPr>
              <w:rPr>
                <w:lang w:val="ro-RO"/>
              </w:rPr>
            </w:pPr>
            <w:r>
              <w:rPr>
                <w:lang w:val="ro-RO"/>
              </w:rPr>
              <w:t>Acoperirea de către presă</w:t>
            </w:r>
          </w:p>
          <w:p w14:paraId="00D4EC99" w14:textId="011BB236" w:rsidR="00CD03DF" w:rsidRPr="008F7D89" w:rsidRDefault="00F63821" w:rsidP="00CD03DF">
            <w:pPr>
              <w:pStyle w:val="ListParagraph"/>
              <w:numPr>
                <w:ilvl w:val="0"/>
                <w:numId w:val="11"/>
              </w:numPr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Oamenii ar putea fi motivați de frica unei acoperiri negative de către pres</w:t>
            </w:r>
            <w:r w:rsidR="00C56904">
              <w:rPr>
                <w:iCs/>
                <w:lang w:val="ro-RO"/>
              </w:rPr>
              <w:t>ă</w:t>
            </w:r>
            <w:r>
              <w:rPr>
                <w:iCs/>
                <w:lang w:val="ro-RO"/>
              </w:rPr>
              <w:t xml:space="preserve"> </w:t>
            </w:r>
            <w:r w:rsidR="00C51E33">
              <w:rPr>
                <w:iCs/>
                <w:lang w:val="ro-RO"/>
              </w:rPr>
              <w:t>a</w:t>
            </w:r>
            <w:r>
              <w:rPr>
                <w:iCs/>
                <w:lang w:val="ro-RO"/>
              </w:rPr>
              <w:t xml:space="preserve"> procese</w:t>
            </w:r>
            <w:r w:rsidR="00C51E33">
              <w:rPr>
                <w:iCs/>
                <w:lang w:val="ro-RO"/>
              </w:rPr>
              <w:t>lor</w:t>
            </w:r>
            <w:r>
              <w:rPr>
                <w:iCs/>
                <w:lang w:val="ro-RO"/>
              </w:rPr>
              <w:t xml:space="preserve">. </w:t>
            </w:r>
          </w:p>
        </w:tc>
      </w:tr>
      <w:tr w:rsidR="00D3749C" w:rsidRPr="008F7D89" w14:paraId="45650640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2B789AD8" w14:textId="77777777" w:rsidR="00D3749C" w:rsidRPr="008F7D89" w:rsidRDefault="00D3749C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4CD915CF" w14:textId="231FD010" w:rsidR="00D3749C" w:rsidRPr="008F7D89" w:rsidRDefault="00F63821" w:rsidP="00D3749C">
            <w:pPr>
              <w:rPr>
                <w:lang w:val="ro-RO"/>
              </w:rPr>
            </w:pPr>
            <w:r>
              <w:rPr>
                <w:lang w:val="ro-RO"/>
              </w:rPr>
              <w:t>Budgete</w:t>
            </w:r>
            <w:r w:rsidR="00D3749C" w:rsidRPr="008F7D89">
              <w:rPr>
                <w:lang w:val="ro-RO"/>
              </w:rPr>
              <w:t xml:space="preserve"> </w:t>
            </w:r>
            <w:r w:rsidR="00D3749C" w:rsidRPr="008F7D89">
              <w:rPr>
                <w:lang w:val="ro-RO"/>
              </w:rPr>
              <w:sym w:font="Wingdings" w:char="F0E0"/>
            </w:r>
            <w:r w:rsidR="00D3749C" w:rsidRPr="008F7D89">
              <w:rPr>
                <w:lang w:val="ro-RO"/>
              </w:rPr>
              <w:t xml:space="preserve"> </w:t>
            </w:r>
            <w:r>
              <w:rPr>
                <w:lang w:val="ro-RO"/>
              </w:rPr>
              <w:t>evaluări</w:t>
            </w:r>
            <w:r w:rsidR="00C51E33">
              <w:rPr>
                <w:lang w:val="ro-RO"/>
              </w:rPr>
              <w:t xml:space="preserve"> </w:t>
            </w:r>
            <w:r w:rsidR="00D3749C" w:rsidRPr="008F7D89">
              <w:rPr>
                <w:lang w:val="ro-RO"/>
              </w:rPr>
              <w:sym w:font="Wingdings" w:char="F0E0"/>
            </w:r>
            <w:r w:rsidR="00D3749C" w:rsidRPr="008F7D89">
              <w:rPr>
                <w:lang w:val="ro-RO"/>
              </w:rPr>
              <w:t xml:space="preserve"> </w:t>
            </w:r>
            <w:r w:rsidR="00C51E33">
              <w:rPr>
                <w:lang w:val="ro-RO"/>
              </w:rPr>
              <w:t>gestionarea</w:t>
            </w:r>
            <w:r>
              <w:rPr>
                <w:lang w:val="ro-RO"/>
              </w:rPr>
              <w:t xml:space="preserve"> performanței</w:t>
            </w:r>
          </w:p>
          <w:p w14:paraId="3F268FBC" w14:textId="50AB8D3F" w:rsidR="00810459" w:rsidRPr="008F7D89" w:rsidRDefault="00F63821" w:rsidP="00810459">
            <w:pPr>
              <w:pStyle w:val="ListParagraph"/>
              <w:numPr>
                <w:ilvl w:val="0"/>
                <w:numId w:val="11"/>
              </w:numPr>
              <w:rPr>
                <w:iCs/>
                <w:lang w:val="ro-RO"/>
              </w:rPr>
            </w:pPr>
            <w:r w:rsidRPr="00F63821">
              <w:rPr>
                <w:iCs/>
                <w:lang w:val="ro-RO"/>
              </w:rPr>
              <w:t>Angajații pot fi motivați să obțină aprecieri bune și să fie recompensați; pot fi, de asemenea, motivați de frica de a pierde aceste recompense.</w:t>
            </w:r>
          </w:p>
        </w:tc>
      </w:tr>
      <w:tr w:rsidR="00D3749C" w:rsidRPr="008F7D89" w14:paraId="6DD402D8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4FAD8EC1" w14:textId="77777777" w:rsidR="00D3749C" w:rsidRPr="008F7D89" w:rsidRDefault="00D3749C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469B42C1" w14:textId="5CE62CD5" w:rsidR="00F63821" w:rsidRDefault="00F63821" w:rsidP="00F63821">
            <w:pPr>
              <w:rPr>
                <w:lang w:val="ro-RO"/>
              </w:rPr>
            </w:pPr>
            <w:r w:rsidRPr="00F63821">
              <w:rPr>
                <w:lang w:val="ro-RO"/>
              </w:rPr>
              <w:t xml:space="preserve">Presiunea colegilor, cum ar fi grupurile de </w:t>
            </w:r>
            <w:r>
              <w:rPr>
                <w:lang w:val="ro-RO"/>
              </w:rPr>
              <w:t>coordonare</w:t>
            </w:r>
          </w:p>
          <w:p w14:paraId="50CD44C4" w14:textId="4165B8AF" w:rsidR="00810459" w:rsidRPr="00F63821" w:rsidRDefault="00F63821" w:rsidP="00F63821">
            <w:pPr>
              <w:pStyle w:val="ListParagraph"/>
              <w:numPr>
                <w:ilvl w:val="0"/>
                <w:numId w:val="11"/>
              </w:numPr>
              <w:rPr>
                <w:lang w:val="ro-RO"/>
              </w:rPr>
            </w:pPr>
            <w:r w:rsidRPr="00F63821">
              <w:rPr>
                <w:iCs/>
                <w:lang w:val="ro-RO"/>
              </w:rPr>
              <w:t xml:space="preserve">Oamenii pot fi motivați de presiunea </w:t>
            </w:r>
            <w:r w:rsidR="00260314">
              <w:rPr>
                <w:iCs/>
                <w:lang w:val="ro-RO"/>
              </w:rPr>
              <w:t>de</w:t>
            </w:r>
            <w:r w:rsidRPr="00F63821">
              <w:rPr>
                <w:iCs/>
                <w:lang w:val="ro-RO"/>
              </w:rPr>
              <w:t xml:space="preserve"> a produce un rezultat de succes.</w:t>
            </w:r>
          </w:p>
        </w:tc>
      </w:tr>
      <w:tr w:rsidR="007B17CA" w:rsidRPr="008F7D89" w14:paraId="34B65BE5" w14:textId="77777777" w:rsidTr="007B17CA">
        <w:trPr>
          <w:trHeight w:val="314"/>
        </w:trPr>
        <w:tc>
          <w:tcPr>
            <w:tcW w:w="1704" w:type="dxa"/>
            <w:vMerge w:val="restart"/>
            <w:shd w:val="clear" w:color="auto" w:fill="B4C6E7" w:themeFill="accent1" w:themeFillTint="66"/>
          </w:tcPr>
          <w:p w14:paraId="797E0B08" w14:textId="39D2AED9" w:rsidR="007B17CA" w:rsidRPr="008F7D89" w:rsidRDefault="00F63821" w:rsidP="00D3749C">
            <w:pPr>
              <w:rPr>
                <w:lang w:val="ro-RO"/>
              </w:rPr>
            </w:pPr>
            <w:r>
              <w:rPr>
                <w:lang w:val="ro-RO"/>
              </w:rPr>
              <w:t>Entuziasm</w:t>
            </w:r>
          </w:p>
        </w:tc>
        <w:tc>
          <w:tcPr>
            <w:tcW w:w="7690" w:type="dxa"/>
          </w:tcPr>
          <w:p w14:paraId="737A27C4" w14:textId="7E7469FD" w:rsidR="007B17CA" w:rsidRPr="008F7D89" w:rsidRDefault="00260314" w:rsidP="00D3749C">
            <w:pPr>
              <w:rPr>
                <w:lang w:val="ro-RO"/>
              </w:rPr>
            </w:pPr>
            <w:r>
              <w:rPr>
                <w:lang w:val="ro-RO"/>
              </w:rPr>
              <w:t>Situație pentru schimbare</w:t>
            </w:r>
          </w:p>
          <w:p w14:paraId="30547FC4" w14:textId="4DADD5E6" w:rsidR="00810459" w:rsidRPr="008F7D89" w:rsidRDefault="00260314" w:rsidP="00810459">
            <w:pPr>
              <w:pStyle w:val="ListParagraph"/>
              <w:numPr>
                <w:ilvl w:val="0"/>
                <w:numId w:val="11"/>
              </w:numPr>
              <w:rPr>
                <w:iCs/>
                <w:lang w:val="ro-RO"/>
              </w:rPr>
            </w:pPr>
            <w:r w:rsidRPr="00260314">
              <w:rPr>
                <w:iCs/>
                <w:lang w:val="ro-RO"/>
              </w:rPr>
              <w:t>Schimbarea înseamnă noi oportunități pentru angajați</w:t>
            </w:r>
            <w:r>
              <w:rPr>
                <w:iCs/>
                <w:lang w:val="ro-RO"/>
              </w:rPr>
              <w:t>.</w:t>
            </w:r>
          </w:p>
        </w:tc>
      </w:tr>
      <w:tr w:rsidR="007B17CA" w:rsidRPr="008F7D89" w14:paraId="09DC31F2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52F023ED" w14:textId="77777777" w:rsidR="007B17CA" w:rsidRPr="008F7D89" w:rsidRDefault="007B17CA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39AC7CFB" w14:textId="1742EE58" w:rsidR="00260314" w:rsidRPr="008F7D89" w:rsidRDefault="00260314" w:rsidP="00260314">
            <w:pPr>
              <w:rPr>
                <w:lang w:val="ro-RO"/>
              </w:rPr>
            </w:pPr>
            <w:r>
              <w:rPr>
                <w:lang w:val="ro-RO"/>
              </w:rPr>
              <w:t>Întâlniri individuale cu membrii conducerii</w:t>
            </w:r>
          </w:p>
          <w:p w14:paraId="301DFF69" w14:textId="6A585888" w:rsidR="00810459" w:rsidRPr="008F7D89" w:rsidRDefault="00260314" w:rsidP="00810459">
            <w:pPr>
              <w:pStyle w:val="ListParagraph"/>
              <w:numPr>
                <w:ilvl w:val="0"/>
                <w:numId w:val="11"/>
              </w:numPr>
              <w:rPr>
                <w:iCs/>
                <w:lang w:val="ro-RO"/>
              </w:rPr>
            </w:pPr>
            <w:r w:rsidRPr="00260314">
              <w:rPr>
                <w:iCs/>
                <w:lang w:val="ro-RO"/>
              </w:rPr>
              <w:t xml:space="preserve">Angajații pot vorbi direct cu </w:t>
            </w:r>
            <w:r>
              <w:rPr>
                <w:iCs/>
                <w:lang w:val="en-US"/>
              </w:rPr>
              <w:t>‘</w:t>
            </w:r>
            <w:r w:rsidRPr="00260314">
              <w:rPr>
                <w:iCs/>
                <w:lang w:val="ro-RO"/>
              </w:rPr>
              <w:t>liderii</w:t>
            </w:r>
            <w:r>
              <w:rPr>
                <w:iCs/>
                <w:lang w:val="ro-RO"/>
              </w:rPr>
              <w:t>’</w:t>
            </w:r>
            <w:r w:rsidRPr="00260314">
              <w:rPr>
                <w:iCs/>
                <w:lang w:val="ro-RO"/>
              </w:rPr>
              <w:t xml:space="preserve"> lor și au șansa de a-și împărtăși propriile idei și opinii.</w:t>
            </w:r>
          </w:p>
        </w:tc>
      </w:tr>
      <w:tr w:rsidR="007B17CA" w:rsidRPr="008F7D89" w14:paraId="167D23C0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5F74B960" w14:textId="77777777" w:rsidR="007B17CA" w:rsidRPr="008F7D89" w:rsidRDefault="007B17CA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676DA78B" w14:textId="77777777" w:rsidR="00260314" w:rsidRPr="008F7D89" w:rsidRDefault="00260314" w:rsidP="00260314">
            <w:pPr>
              <w:rPr>
                <w:lang w:val="ro-RO"/>
              </w:rPr>
            </w:pPr>
            <w:r>
              <w:rPr>
                <w:lang w:val="ro-RO"/>
              </w:rPr>
              <w:t>Acoperirea de către presă</w:t>
            </w:r>
          </w:p>
          <w:p w14:paraId="25ADC577" w14:textId="2AE5E9B2" w:rsidR="00810459" w:rsidRPr="008F7D89" w:rsidRDefault="007D3605" w:rsidP="00810459">
            <w:pPr>
              <w:pStyle w:val="ListParagraph"/>
              <w:numPr>
                <w:ilvl w:val="0"/>
                <w:numId w:val="11"/>
              </w:numPr>
              <w:rPr>
                <w:iCs/>
                <w:lang w:val="ro-RO"/>
              </w:rPr>
            </w:pPr>
            <w:r w:rsidRPr="007D3605">
              <w:rPr>
                <w:iCs/>
                <w:lang w:val="ro-RO"/>
              </w:rPr>
              <w:t>Atenția presei poate prezenta un nou potențial.</w:t>
            </w:r>
          </w:p>
        </w:tc>
      </w:tr>
      <w:tr w:rsidR="007B17CA" w:rsidRPr="008F7D89" w14:paraId="68D51F4E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59D13518" w14:textId="77777777" w:rsidR="007B17CA" w:rsidRPr="008F7D89" w:rsidRDefault="007B17CA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5F737FB2" w14:textId="386ECDAA" w:rsidR="007B17CA" w:rsidRPr="008F7D89" w:rsidRDefault="00CE7731" w:rsidP="00D3749C">
            <w:pPr>
              <w:rPr>
                <w:lang w:val="ro-RO"/>
              </w:rPr>
            </w:pPr>
            <w:r>
              <w:rPr>
                <w:lang w:val="ro-RO"/>
              </w:rPr>
              <w:t>Etosul îndrumător</w:t>
            </w:r>
          </w:p>
          <w:p w14:paraId="49EECA56" w14:textId="7068FF8A" w:rsidR="00F44DB5" w:rsidRPr="008F7D89" w:rsidRDefault="007D3605" w:rsidP="00F44DB5">
            <w:pPr>
              <w:pStyle w:val="ListParagraph"/>
              <w:numPr>
                <w:ilvl w:val="0"/>
                <w:numId w:val="11"/>
              </w:numPr>
              <w:rPr>
                <w:lang w:val="ro-RO"/>
              </w:rPr>
            </w:pPr>
            <w:r w:rsidRPr="007D3605">
              <w:rPr>
                <w:iCs/>
                <w:lang w:val="ro-RO"/>
              </w:rPr>
              <w:t>Crearea idei</w:t>
            </w:r>
            <w:r>
              <w:rPr>
                <w:iCs/>
                <w:lang w:val="ro-RO"/>
              </w:rPr>
              <w:t>lor</w:t>
            </w:r>
            <w:r w:rsidRPr="007D3605">
              <w:rPr>
                <w:iCs/>
                <w:lang w:val="ro-RO"/>
              </w:rPr>
              <w:t xml:space="preserve"> și ideologii</w:t>
            </w:r>
            <w:r>
              <w:rPr>
                <w:iCs/>
                <w:lang w:val="ro-RO"/>
              </w:rPr>
              <w:t>lor</w:t>
            </w:r>
            <w:r w:rsidRPr="007D3605">
              <w:rPr>
                <w:iCs/>
                <w:lang w:val="ro-RO"/>
              </w:rPr>
              <w:t xml:space="preserve"> comune îi va ghida pe oameni </w:t>
            </w:r>
            <w:r w:rsidR="00C51E33">
              <w:rPr>
                <w:iCs/>
                <w:lang w:val="ro-RO"/>
              </w:rPr>
              <w:t>în cadrul</w:t>
            </w:r>
            <w:r w:rsidRPr="007D3605">
              <w:rPr>
                <w:iCs/>
                <w:lang w:val="ro-RO"/>
              </w:rPr>
              <w:t xml:space="preserve"> schimb</w:t>
            </w:r>
            <w:r w:rsidR="00C51E33">
              <w:rPr>
                <w:iCs/>
                <w:lang w:val="ro-RO"/>
              </w:rPr>
              <w:t>ă</w:t>
            </w:r>
            <w:r w:rsidRPr="007D3605">
              <w:rPr>
                <w:iCs/>
                <w:lang w:val="ro-RO"/>
              </w:rPr>
              <w:t>r</w:t>
            </w:r>
            <w:r w:rsidR="00C51E33">
              <w:rPr>
                <w:iCs/>
                <w:lang w:val="ro-RO"/>
              </w:rPr>
              <w:t>ii</w:t>
            </w:r>
            <w:r w:rsidRPr="007D3605">
              <w:rPr>
                <w:iCs/>
                <w:lang w:val="ro-RO"/>
              </w:rPr>
              <w:t>.</w:t>
            </w:r>
          </w:p>
        </w:tc>
      </w:tr>
      <w:tr w:rsidR="007B17CA" w:rsidRPr="008F7D89" w14:paraId="06D32F9F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531ED9E9" w14:textId="77777777" w:rsidR="007B17CA" w:rsidRPr="008F7D89" w:rsidRDefault="007B17CA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6654FBDD" w14:textId="72B4AF7D" w:rsidR="007B17CA" w:rsidRPr="008F7D89" w:rsidRDefault="00CE7731" w:rsidP="00D3749C">
            <w:pPr>
              <w:rPr>
                <w:lang w:val="ro-RO"/>
              </w:rPr>
            </w:pPr>
            <w:r w:rsidRPr="00CE7731">
              <w:rPr>
                <w:lang w:val="ro-RO"/>
              </w:rPr>
              <w:t>Reinvestirea economiilor</w:t>
            </w:r>
          </w:p>
          <w:p w14:paraId="619AB308" w14:textId="348DFA05" w:rsidR="00F671D8" w:rsidRPr="008F7D89" w:rsidRDefault="00CE7731" w:rsidP="00F671D8">
            <w:pPr>
              <w:pStyle w:val="ListParagraph"/>
              <w:numPr>
                <w:ilvl w:val="0"/>
                <w:numId w:val="11"/>
              </w:numPr>
              <w:rPr>
                <w:lang w:val="ro-RO"/>
              </w:rPr>
            </w:pPr>
            <w:r w:rsidRPr="00CE7731">
              <w:rPr>
                <w:iCs/>
                <w:lang w:val="ro-RO"/>
              </w:rPr>
              <w:t>Capacitatea de a reinvesti bani</w:t>
            </w:r>
            <w:r>
              <w:rPr>
                <w:iCs/>
                <w:lang w:val="ro-RO"/>
              </w:rPr>
              <w:t>i</w:t>
            </w:r>
            <w:r w:rsidRPr="00CE7731">
              <w:rPr>
                <w:iCs/>
                <w:lang w:val="ro-RO"/>
              </w:rPr>
              <w:t xml:space="preserve"> în </w:t>
            </w:r>
            <w:r w:rsidR="00B8174D">
              <w:rPr>
                <w:iCs/>
                <w:lang w:val="ro-RO"/>
              </w:rPr>
              <w:t>întreprindere</w:t>
            </w:r>
            <w:r w:rsidRPr="00CE7731">
              <w:rPr>
                <w:iCs/>
                <w:lang w:val="ro-RO"/>
              </w:rPr>
              <w:t xml:space="preserve"> </w:t>
            </w:r>
            <w:r>
              <w:rPr>
                <w:iCs/>
                <w:lang w:val="ro-RO"/>
              </w:rPr>
              <w:t xml:space="preserve">produce </w:t>
            </w:r>
            <w:r w:rsidRPr="00CE7731">
              <w:rPr>
                <w:iCs/>
                <w:lang w:val="ro-RO"/>
              </w:rPr>
              <w:t xml:space="preserve">entuziasm </w:t>
            </w:r>
            <w:r>
              <w:rPr>
                <w:iCs/>
                <w:lang w:val="ro-RO"/>
              </w:rPr>
              <w:t xml:space="preserve">cu privire la </w:t>
            </w:r>
            <w:r w:rsidRPr="00CE7731">
              <w:rPr>
                <w:iCs/>
                <w:lang w:val="ro-RO"/>
              </w:rPr>
              <w:t>posibilități</w:t>
            </w:r>
            <w:r w:rsidR="00C417D9" w:rsidRPr="008F7D89">
              <w:rPr>
                <w:iCs/>
                <w:lang w:val="ro-RO"/>
              </w:rPr>
              <w:t>.</w:t>
            </w:r>
          </w:p>
        </w:tc>
      </w:tr>
      <w:tr w:rsidR="007B17CA" w:rsidRPr="008F7D89" w14:paraId="650B61D5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6ED6A7F2" w14:textId="77777777" w:rsidR="007B17CA" w:rsidRPr="008F7D89" w:rsidRDefault="007B17CA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30BED821" w14:textId="017CE648" w:rsidR="007B17CA" w:rsidRPr="008F7D89" w:rsidRDefault="00CE7731" w:rsidP="00D3749C">
            <w:pPr>
              <w:rPr>
                <w:lang w:val="ro-RO"/>
              </w:rPr>
            </w:pPr>
            <w:r w:rsidRPr="00CE7731">
              <w:rPr>
                <w:lang w:val="ro-RO"/>
              </w:rPr>
              <w:t xml:space="preserve">Bonusuri vizibile, promoții sau creșteri salariale pentru </w:t>
            </w:r>
            <w:r>
              <w:rPr>
                <w:lang w:val="ro-RO"/>
              </w:rPr>
              <w:t>conduit</w:t>
            </w:r>
            <w:r w:rsidR="00C56904">
              <w:rPr>
                <w:lang w:val="ro-RO"/>
              </w:rPr>
              <w:t>ă</w:t>
            </w:r>
            <w:r w:rsidRPr="00CE7731">
              <w:rPr>
                <w:lang w:val="ro-RO"/>
              </w:rPr>
              <w:t xml:space="preserve"> și realizări</w:t>
            </w:r>
          </w:p>
          <w:p w14:paraId="3BF5F02A" w14:textId="4A2BEF96" w:rsidR="00F671D8" w:rsidRPr="008F7D89" w:rsidRDefault="00CE7731" w:rsidP="00F671D8">
            <w:pPr>
              <w:pStyle w:val="ListParagraph"/>
              <w:numPr>
                <w:ilvl w:val="0"/>
                <w:numId w:val="11"/>
              </w:numPr>
              <w:rPr>
                <w:lang w:val="ro-RO"/>
              </w:rPr>
            </w:pPr>
            <w:r w:rsidRPr="00CE7731">
              <w:rPr>
                <w:iCs/>
                <w:lang w:val="ro-RO"/>
              </w:rPr>
              <w:t>• Recompensarea corectă a angajaților generează entuziasm.</w:t>
            </w:r>
          </w:p>
        </w:tc>
      </w:tr>
      <w:tr w:rsidR="007B17CA" w:rsidRPr="008F7D89" w14:paraId="2A29AF90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00B51BC6" w14:textId="77777777" w:rsidR="007B17CA" w:rsidRPr="008F7D89" w:rsidRDefault="007B17CA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14B76AA1" w14:textId="4349E86E" w:rsidR="007B17CA" w:rsidRPr="008F7D89" w:rsidRDefault="00CE7731" w:rsidP="00D3749C">
            <w:pPr>
              <w:rPr>
                <w:lang w:val="ro-RO"/>
              </w:rPr>
            </w:pPr>
            <w:r>
              <w:rPr>
                <w:lang w:val="ro-RO"/>
              </w:rPr>
              <w:t xml:space="preserve">Victorii rapide </w:t>
            </w:r>
          </w:p>
          <w:p w14:paraId="3EF723EA" w14:textId="73B9E650" w:rsidR="00F44DB5" w:rsidRPr="008F7D89" w:rsidRDefault="00CE7731" w:rsidP="00F44DB5">
            <w:pPr>
              <w:pStyle w:val="ListParagraph"/>
              <w:numPr>
                <w:ilvl w:val="0"/>
                <w:numId w:val="11"/>
              </w:numPr>
              <w:rPr>
                <w:lang w:val="ro-RO"/>
              </w:rPr>
            </w:pPr>
            <w:r>
              <w:rPr>
                <w:iCs/>
                <w:lang w:val="ro-RO"/>
              </w:rPr>
              <w:t>Victoriile</w:t>
            </w:r>
            <w:r w:rsidRPr="00CE7731">
              <w:rPr>
                <w:iCs/>
                <w:lang w:val="ro-RO"/>
              </w:rPr>
              <w:t xml:space="preserve"> rapide pot spori entuziasmul angajaților, deoarece</w:t>
            </w:r>
            <w:r w:rsidR="00C56904">
              <w:rPr>
                <w:iCs/>
                <w:lang w:val="ro-RO"/>
              </w:rPr>
              <w:t xml:space="preserve"> aceștia</w:t>
            </w:r>
            <w:r w:rsidRPr="00CE7731">
              <w:rPr>
                <w:iCs/>
                <w:lang w:val="ro-RO"/>
              </w:rPr>
              <w:t xml:space="preserve"> vor vedea schimbarea care se întâmplă într-o perioadă scurtă de timp</w:t>
            </w:r>
            <w:r w:rsidR="00C417D9" w:rsidRPr="008F7D89">
              <w:rPr>
                <w:iCs/>
                <w:lang w:val="ro-RO"/>
              </w:rPr>
              <w:t>.</w:t>
            </w:r>
          </w:p>
        </w:tc>
      </w:tr>
      <w:tr w:rsidR="007B17CA" w:rsidRPr="008F7D89" w14:paraId="04EC8B38" w14:textId="77777777" w:rsidTr="007B17CA">
        <w:trPr>
          <w:trHeight w:val="335"/>
        </w:trPr>
        <w:tc>
          <w:tcPr>
            <w:tcW w:w="1704" w:type="dxa"/>
            <w:vMerge/>
            <w:shd w:val="clear" w:color="auto" w:fill="B4C6E7" w:themeFill="accent1" w:themeFillTint="66"/>
          </w:tcPr>
          <w:p w14:paraId="1C40E74E" w14:textId="77777777" w:rsidR="007B17CA" w:rsidRPr="008F7D89" w:rsidRDefault="007B17CA" w:rsidP="00D3749C">
            <w:pPr>
              <w:rPr>
                <w:lang w:val="ro-RO"/>
              </w:rPr>
            </w:pPr>
          </w:p>
        </w:tc>
        <w:tc>
          <w:tcPr>
            <w:tcW w:w="7690" w:type="dxa"/>
          </w:tcPr>
          <w:p w14:paraId="26AF0552" w14:textId="17791F58" w:rsidR="00CE7731" w:rsidRPr="00CE7731" w:rsidRDefault="007D3605" w:rsidP="00CE7731">
            <w:pPr>
              <w:rPr>
                <w:lang w:val="ro-RO"/>
              </w:rPr>
            </w:pPr>
            <w:r>
              <w:rPr>
                <w:lang w:val="ro-RO"/>
              </w:rPr>
              <w:t>Stabiliți o direcție</w:t>
            </w:r>
          </w:p>
          <w:p w14:paraId="00F65376" w14:textId="0AB53628" w:rsidR="00F44DB5" w:rsidRPr="008F7D89" w:rsidRDefault="007D3605" w:rsidP="00F44DB5">
            <w:pPr>
              <w:pStyle w:val="ListParagraph"/>
              <w:numPr>
                <w:ilvl w:val="0"/>
                <w:numId w:val="11"/>
              </w:numPr>
              <w:rPr>
                <w:lang w:val="ro-RO"/>
              </w:rPr>
            </w:pPr>
            <w:r>
              <w:rPr>
                <w:iCs/>
                <w:lang w:val="ro-RO"/>
              </w:rPr>
              <w:t xml:space="preserve">Informarea oamenilor cu privire la planurile </w:t>
            </w:r>
            <w:r w:rsidR="00C56904">
              <w:rPr>
                <w:iCs/>
                <w:lang w:val="ro-RO"/>
              </w:rPr>
              <w:t xml:space="preserve">și </w:t>
            </w:r>
            <w:r>
              <w:rPr>
                <w:iCs/>
                <w:lang w:val="ro-RO"/>
              </w:rPr>
              <w:t xml:space="preserve">ședințele viitoare îi va entuziasma de acest proces și le va oferi </w:t>
            </w:r>
            <w:r w:rsidR="00C51E33">
              <w:rPr>
                <w:iCs/>
                <w:lang w:val="ro-RO"/>
              </w:rPr>
              <w:t>o înțelegere a</w:t>
            </w:r>
            <w:r>
              <w:rPr>
                <w:iCs/>
                <w:lang w:val="ro-RO"/>
              </w:rPr>
              <w:t xml:space="preserve"> direcției în care </w:t>
            </w:r>
            <w:r w:rsidR="00B8174D">
              <w:rPr>
                <w:iCs/>
                <w:lang w:val="ro-RO"/>
              </w:rPr>
              <w:t>te</w:t>
            </w:r>
            <w:r>
              <w:rPr>
                <w:iCs/>
                <w:lang w:val="ro-RO"/>
              </w:rPr>
              <w:t xml:space="preserve"> îndrep</w:t>
            </w:r>
            <w:r w:rsidR="00B8174D">
              <w:rPr>
                <w:iCs/>
                <w:lang w:val="ro-RO"/>
              </w:rPr>
              <w:t>ți.</w:t>
            </w:r>
          </w:p>
        </w:tc>
      </w:tr>
    </w:tbl>
    <w:p w14:paraId="2D6377B7" w14:textId="77777777" w:rsidR="00D3749C" w:rsidRPr="008F7D89" w:rsidRDefault="00D3749C" w:rsidP="00D3749C">
      <w:pPr>
        <w:rPr>
          <w:lang w:val="ro-RO"/>
        </w:rPr>
      </w:pPr>
    </w:p>
    <w:sectPr w:rsidR="00D3749C" w:rsidRPr="008F7D89" w:rsidSect="00D3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56251" w14:textId="77777777" w:rsidR="006513AD" w:rsidRDefault="006513AD" w:rsidP="0084478A">
      <w:pPr>
        <w:spacing w:after="0" w:line="240" w:lineRule="auto"/>
      </w:pPr>
      <w:r>
        <w:separator/>
      </w:r>
    </w:p>
  </w:endnote>
  <w:endnote w:type="continuationSeparator" w:id="0">
    <w:p w14:paraId="6E33661C" w14:textId="77777777" w:rsidR="006513AD" w:rsidRDefault="006513AD" w:rsidP="0084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F6B1" w14:textId="77777777" w:rsidR="006513AD" w:rsidRDefault="006513AD" w:rsidP="0084478A">
      <w:pPr>
        <w:spacing w:after="0" w:line="240" w:lineRule="auto"/>
      </w:pPr>
      <w:r>
        <w:separator/>
      </w:r>
    </w:p>
  </w:footnote>
  <w:footnote w:type="continuationSeparator" w:id="0">
    <w:p w14:paraId="5E8AA483" w14:textId="77777777" w:rsidR="006513AD" w:rsidRDefault="006513AD" w:rsidP="00844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F37D0"/>
    <w:multiLevelType w:val="hybridMultilevel"/>
    <w:tmpl w:val="E3224C4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385256B1"/>
    <w:multiLevelType w:val="hybridMultilevel"/>
    <w:tmpl w:val="6A98A28A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B12F9"/>
    <w:multiLevelType w:val="hybridMultilevel"/>
    <w:tmpl w:val="0736F00A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735AB"/>
    <w:multiLevelType w:val="hybridMultilevel"/>
    <w:tmpl w:val="B308C4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401A2"/>
    <w:rsid w:val="000610CC"/>
    <w:rsid w:val="00072D2B"/>
    <w:rsid w:val="00091217"/>
    <w:rsid w:val="000D4864"/>
    <w:rsid w:val="001150F8"/>
    <w:rsid w:val="001476D0"/>
    <w:rsid w:val="00182A05"/>
    <w:rsid w:val="00194532"/>
    <w:rsid w:val="00197783"/>
    <w:rsid w:val="001A0E2C"/>
    <w:rsid w:val="00226D35"/>
    <w:rsid w:val="00250071"/>
    <w:rsid w:val="00260314"/>
    <w:rsid w:val="002947BE"/>
    <w:rsid w:val="002B331D"/>
    <w:rsid w:val="00341277"/>
    <w:rsid w:val="0034410C"/>
    <w:rsid w:val="003749D3"/>
    <w:rsid w:val="003849E1"/>
    <w:rsid w:val="003B451E"/>
    <w:rsid w:val="004172E9"/>
    <w:rsid w:val="0048689C"/>
    <w:rsid w:val="004C76A9"/>
    <w:rsid w:val="004F3A86"/>
    <w:rsid w:val="00531D0D"/>
    <w:rsid w:val="00547996"/>
    <w:rsid w:val="0056035E"/>
    <w:rsid w:val="00605F38"/>
    <w:rsid w:val="00637243"/>
    <w:rsid w:val="006513AD"/>
    <w:rsid w:val="00691E28"/>
    <w:rsid w:val="006C3573"/>
    <w:rsid w:val="006D4C07"/>
    <w:rsid w:val="007409D2"/>
    <w:rsid w:val="00757345"/>
    <w:rsid w:val="007B17CA"/>
    <w:rsid w:val="007D3605"/>
    <w:rsid w:val="00810459"/>
    <w:rsid w:val="008267F6"/>
    <w:rsid w:val="0084478A"/>
    <w:rsid w:val="008C1AB8"/>
    <w:rsid w:val="008C2929"/>
    <w:rsid w:val="008F7D89"/>
    <w:rsid w:val="00945D8B"/>
    <w:rsid w:val="0096030E"/>
    <w:rsid w:val="0099371C"/>
    <w:rsid w:val="009A7B6E"/>
    <w:rsid w:val="009D2E63"/>
    <w:rsid w:val="009E28B8"/>
    <w:rsid w:val="00AE1DC5"/>
    <w:rsid w:val="00B07794"/>
    <w:rsid w:val="00B27D48"/>
    <w:rsid w:val="00B4731E"/>
    <w:rsid w:val="00B60260"/>
    <w:rsid w:val="00B80AF5"/>
    <w:rsid w:val="00B8174D"/>
    <w:rsid w:val="00BB2366"/>
    <w:rsid w:val="00BB7BCF"/>
    <w:rsid w:val="00BC13F9"/>
    <w:rsid w:val="00BE289C"/>
    <w:rsid w:val="00BE6E6A"/>
    <w:rsid w:val="00C26DE6"/>
    <w:rsid w:val="00C417D9"/>
    <w:rsid w:val="00C51E33"/>
    <w:rsid w:val="00C56904"/>
    <w:rsid w:val="00C6155A"/>
    <w:rsid w:val="00C771EC"/>
    <w:rsid w:val="00C969C0"/>
    <w:rsid w:val="00CA73B3"/>
    <w:rsid w:val="00CD03DF"/>
    <w:rsid w:val="00CE1071"/>
    <w:rsid w:val="00CE7731"/>
    <w:rsid w:val="00CF5310"/>
    <w:rsid w:val="00D325F6"/>
    <w:rsid w:val="00D3749C"/>
    <w:rsid w:val="00D533C5"/>
    <w:rsid w:val="00D63209"/>
    <w:rsid w:val="00D71EF9"/>
    <w:rsid w:val="00D75445"/>
    <w:rsid w:val="00DD60CC"/>
    <w:rsid w:val="00E80824"/>
    <w:rsid w:val="00E91F01"/>
    <w:rsid w:val="00F44841"/>
    <w:rsid w:val="00F44DB5"/>
    <w:rsid w:val="00F63821"/>
    <w:rsid w:val="00F65E41"/>
    <w:rsid w:val="00F671D8"/>
    <w:rsid w:val="00F73BD3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569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44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78A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4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78A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2021-02-17T17:18:00Z</dcterms:created>
  <dcterms:modified xsi:type="dcterms:W3CDTF">2021-07-13T08:52:00Z</dcterms:modified>
</cp:coreProperties>
</file>