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BE683" w14:textId="04E18713" w:rsidR="00F65E41" w:rsidRPr="009344FD" w:rsidRDefault="009E6A2A" w:rsidP="002C6BEA">
      <w:pPr>
        <w:pStyle w:val="Heading1"/>
        <w:jc w:val="both"/>
        <w:rPr>
          <w:lang w:val="ro-RO"/>
        </w:rPr>
      </w:pPr>
      <w:bookmarkStart w:id="0" w:name="_Hlk43974879"/>
      <w:r w:rsidRPr="009344FD">
        <w:rPr>
          <w:lang w:val="ro-RO"/>
        </w:rPr>
        <w:t>Exemple de riscuri</w:t>
      </w:r>
    </w:p>
    <w:p w14:paraId="71EAAC7A" w14:textId="4F7D398B" w:rsidR="00731A0A" w:rsidRPr="009344FD" w:rsidRDefault="009E6A2A" w:rsidP="002C6BEA">
      <w:pPr>
        <w:pStyle w:val="Heading2"/>
        <w:jc w:val="both"/>
        <w:rPr>
          <w:lang w:val="ro-RO"/>
        </w:rPr>
      </w:pPr>
      <w:r w:rsidRPr="009344FD">
        <w:rPr>
          <w:lang w:val="ro-RO"/>
        </w:rPr>
        <w:t>Perturbarea pieței</w:t>
      </w:r>
    </w:p>
    <w:p w14:paraId="0B0CFEA6" w14:textId="13A26B36" w:rsidR="00731A0A" w:rsidRPr="009344FD" w:rsidRDefault="009E6A2A" w:rsidP="002C6BEA">
      <w:pPr>
        <w:jc w:val="both"/>
        <w:rPr>
          <w:lang w:val="ro-RO"/>
        </w:rPr>
      </w:pPr>
      <w:r w:rsidRPr="009344FD">
        <w:rPr>
          <w:lang w:val="ro-RO"/>
        </w:rPr>
        <w:t xml:space="preserve">Incapacitatea de a identifica, adapta, planifica și executa </w:t>
      </w:r>
      <w:r w:rsidR="00E70FF7" w:rsidRPr="009344FD">
        <w:rPr>
          <w:lang w:val="ro-RO"/>
        </w:rPr>
        <w:t>în cadrul funcționării</w:t>
      </w:r>
      <w:r w:rsidR="000F1D3A">
        <w:rPr>
          <w:lang w:val="ro-RO"/>
        </w:rPr>
        <w:t>,</w:t>
      </w:r>
      <w:r w:rsidR="00731A0A" w:rsidRPr="009344FD">
        <w:rPr>
          <w:lang w:val="ro-RO"/>
        </w:rPr>
        <w:t xml:space="preserve"> </w:t>
      </w:r>
      <w:r w:rsidR="001B69D3">
        <w:rPr>
          <w:lang w:val="ro-RO"/>
        </w:rPr>
        <w:t>ca</w:t>
      </w:r>
      <w:r w:rsidR="00E70FF7" w:rsidRPr="009344FD">
        <w:rPr>
          <w:lang w:val="ro-RO"/>
        </w:rPr>
        <w:t xml:space="preserve"> răspuns la semnalele schimbărilor de pe piață</w:t>
      </w:r>
      <w:r w:rsidR="002A39DB" w:rsidRPr="009344FD">
        <w:rPr>
          <w:lang w:val="ro-RO"/>
        </w:rPr>
        <w:t xml:space="preserve">. </w:t>
      </w:r>
      <w:r w:rsidR="00E70FF7" w:rsidRPr="009344FD">
        <w:rPr>
          <w:lang w:val="ro-RO"/>
        </w:rPr>
        <w:t>Acest lucru ar putea rezulta din</w:t>
      </w:r>
      <w:r w:rsidR="001B69D3">
        <w:rPr>
          <w:lang w:val="ro-RO"/>
        </w:rPr>
        <w:t xml:space="preserve"> cauza</w:t>
      </w:r>
      <w:r w:rsidR="00E70FF7" w:rsidRPr="009344FD">
        <w:rPr>
          <w:lang w:val="ro-RO"/>
        </w:rPr>
        <w:t xml:space="preserve"> reformel</w:t>
      </w:r>
      <w:r w:rsidR="001B69D3">
        <w:rPr>
          <w:lang w:val="ro-RO"/>
        </w:rPr>
        <w:t>or</w:t>
      </w:r>
      <w:r w:rsidR="00E70FF7" w:rsidRPr="009344FD">
        <w:rPr>
          <w:lang w:val="ro-RO"/>
        </w:rPr>
        <w:t xml:space="preserve"> legislative și de reglementare, tehnologiile digitale, practicile de cons</w:t>
      </w:r>
      <w:r w:rsidR="001B69D3">
        <w:rPr>
          <w:lang w:val="ro-RO"/>
        </w:rPr>
        <w:t>ultanță</w:t>
      </w:r>
      <w:r w:rsidR="00E70FF7" w:rsidRPr="009344FD">
        <w:rPr>
          <w:lang w:val="ro-RO"/>
        </w:rPr>
        <w:t xml:space="preserve"> sau impozitare, alianțele, noii intrați</w:t>
      </w:r>
      <w:r w:rsidR="001B69D3">
        <w:rPr>
          <w:lang w:val="ro-RO"/>
        </w:rPr>
        <w:t xml:space="preserve"> pe piață </w:t>
      </w:r>
      <w:r w:rsidR="00E70FF7" w:rsidRPr="009344FD">
        <w:rPr>
          <w:lang w:val="ro-RO"/>
        </w:rPr>
        <w:t>și multe altele</w:t>
      </w:r>
      <w:r w:rsidR="00731A0A" w:rsidRPr="009344FD">
        <w:rPr>
          <w:lang w:val="ro-RO"/>
        </w:rPr>
        <w:t>.</w:t>
      </w:r>
    </w:p>
    <w:p w14:paraId="74057235" w14:textId="5BA5487B" w:rsidR="00472143" w:rsidRPr="009344FD" w:rsidRDefault="00DA356F" w:rsidP="002C6BEA">
      <w:pPr>
        <w:pStyle w:val="Heading2"/>
        <w:jc w:val="both"/>
        <w:rPr>
          <w:lang w:val="ro-RO"/>
        </w:rPr>
      </w:pPr>
      <w:r w:rsidRPr="009344FD">
        <w:rPr>
          <w:lang w:val="ro-RO"/>
        </w:rPr>
        <w:t>Cerințele de reglementare</w:t>
      </w:r>
    </w:p>
    <w:p w14:paraId="0B0142E3" w14:textId="2365E478" w:rsidR="00472143" w:rsidRPr="009344FD" w:rsidRDefault="00DA356F" w:rsidP="002C6BEA">
      <w:pPr>
        <w:jc w:val="both"/>
        <w:rPr>
          <w:lang w:val="ro-RO"/>
        </w:rPr>
      </w:pPr>
      <w:r w:rsidRPr="009344FD">
        <w:rPr>
          <w:lang w:val="ro-RO"/>
        </w:rPr>
        <w:t xml:space="preserve">Incapacitatea de a </w:t>
      </w:r>
      <w:r w:rsidR="001B69D3">
        <w:rPr>
          <w:lang w:val="ro-RO"/>
        </w:rPr>
        <w:t>corespunde</w:t>
      </w:r>
      <w:r w:rsidRPr="009344FD">
        <w:rPr>
          <w:lang w:val="ro-RO"/>
        </w:rPr>
        <w:t xml:space="preserve"> </w:t>
      </w:r>
      <w:r w:rsidR="001B69D3">
        <w:rPr>
          <w:lang w:val="ro-RO"/>
        </w:rPr>
        <w:t>cerințelor</w:t>
      </w:r>
      <w:r w:rsidR="00E8367A" w:rsidRPr="009344FD">
        <w:rPr>
          <w:lang w:val="ro-RO"/>
        </w:rPr>
        <w:t xml:space="preserve"> înalte</w:t>
      </w:r>
      <w:r w:rsidRPr="009344FD">
        <w:rPr>
          <w:lang w:val="ro-RO"/>
        </w:rPr>
        <w:t xml:space="preserve"> de reglementare în diferite domenii</w:t>
      </w:r>
      <w:r w:rsidR="00D40765">
        <w:rPr>
          <w:lang w:val="ro-RO"/>
        </w:rPr>
        <w:t>,</w:t>
      </w:r>
      <w:r w:rsidRPr="009344FD">
        <w:rPr>
          <w:lang w:val="ro-RO"/>
        </w:rPr>
        <w:t xml:space="preserve"> într-un mediu </w:t>
      </w:r>
      <w:r w:rsidR="00E8367A" w:rsidRPr="009344FD">
        <w:rPr>
          <w:lang w:val="ro-RO"/>
        </w:rPr>
        <w:t xml:space="preserve">al măsurilor sporite </w:t>
      </w:r>
      <w:r w:rsidRPr="009344FD">
        <w:rPr>
          <w:lang w:val="ro-RO"/>
        </w:rPr>
        <w:t>de</w:t>
      </w:r>
      <w:r w:rsidR="00E8367A" w:rsidRPr="009344FD">
        <w:rPr>
          <w:lang w:val="ro-RO"/>
        </w:rPr>
        <w:t xml:space="preserve"> executare </w:t>
      </w:r>
      <w:r w:rsidR="001B69D3">
        <w:rPr>
          <w:lang w:val="ro-RO"/>
        </w:rPr>
        <w:t xml:space="preserve">silită, </w:t>
      </w:r>
      <w:r w:rsidRPr="009344FD">
        <w:rPr>
          <w:lang w:val="ro-RO"/>
        </w:rPr>
        <w:t>sancțiuni</w:t>
      </w:r>
      <w:r w:rsidR="00D40765">
        <w:rPr>
          <w:lang w:val="ro-RO"/>
        </w:rPr>
        <w:t>lor</w:t>
      </w:r>
      <w:r w:rsidRPr="009344FD">
        <w:rPr>
          <w:lang w:val="ro-RO"/>
        </w:rPr>
        <w:t xml:space="preserve"> </w:t>
      </w:r>
      <w:r w:rsidR="001B69D3">
        <w:rPr>
          <w:lang w:val="ro-RO"/>
        </w:rPr>
        <w:t xml:space="preserve">de natură </w:t>
      </w:r>
      <w:r w:rsidRPr="009344FD">
        <w:rPr>
          <w:lang w:val="ro-RO"/>
        </w:rPr>
        <w:t>civil</w:t>
      </w:r>
      <w:r w:rsidR="001B69D3">
        <w:rPr>
          <w:lang w:val="ro-RO"/>
        </w:rPr>
        <w:t>ă</w:t>
      </w:r>
      <w:r w:rsidRPr="009344FD">
        <w:rPr>
          <w:lang w:val="ro-RO"/>
        </w:rPr>
        <w:t xml:space="preserve"> și penal</w:t>
      </w:r>
      <w:r w:rsidR="001B69D3">
        <w:rPr>
          <w:lang w:val="ro-RO"/>
        </w:rPr>
        <w:t>ă</w:t>
      </w:r>
      <w:r w:rsidRPr="009344FD">
        <w:rPr>
          <w:lang w:val="ro-RO"/>
        </w:rPr>
        <w:t>.</w:t>
      </w:r>
    </w:p>
    <w:p w14:paraId="7DEE84BA" w14:textId="1F2F521A" w:rsidR="00472143" w:rsidRPr="009344FD" w:rsidRDefault="00E8367A" w:rsidP="002C6BEA">
      <w:pPr>
        <w:pStyle w:val="Heading2"/>
        <w:jc w:val="both"/>
        <w:rPr>
          <w:lang w:val="ro-RO"/>
        </w:rPr>
      </w:pPr>
      <w:r w:rsidRPr="009344FD">
        <w:rPr>
          <w:lang w:val="ro-RO"/>
        </w:rPr>
        <w:t>Finanțare strategică</w:t>
      </w:r>
    </w:p>
    <w:p w14:paraId="68658A2B" w14:textId="0D27D807" w:rsidR="00472143" w:rsidRPr="009344FD" w:rsidRDefault="00E8367A" w:rsidP="002C6BEA">
      <w:pPr>
        <w:jc w:val="both"/>
        <w:rPr>
          <w:lang w:val="ro-RO"/>
        </w:rPr>
      </w:pPr>
      <w:r w:rsidRPr="009344FD">
        <w:rPr>
          <w:lang w:val="ro-RO"/>
        </w:rPr>
        <w:t xml:space="preserve">Finanțare suficientă pentru </w:t>
      </w:r>
      <w:r w:rsidR="001B69D3">
        <w:rPr>
          <w:lang w:val="ro-RO"/>
        </w:rPr>
        <w:t>creșterea</w:t>
      </w:r>
      <w:r w:rsidRPr="009344FD">
        <w:rPr>
          <w:lang w:val="ro-RO"/>
        </w:rPr>
        <w:t xml:space="preserve"> rapidă a investițiilor</w:t>
      </w:r>
      <w:r w:rsidR="0082303D" w:rsidRPr="009344FD">
        <w:rPr>
          <w:lang w:val="ro-RO"/>
        </w:rPr>
        <w:t>, cum ar fi</w:t>
      </w:r>
      <w:r w:rsidRPr="009344FD">
        <w:rPr>
          <w:lang w:val="ro-RO"/>
        </w:rPr>
        <w:t xml:space="preserve"> angajările strategice sau inovațiile serviciilor noi, </w:t>
      </w:r>
      <w:r w:rsidR="001B69D3">
        <w:rPr>
          <w:lang w:val="ro-RO"/>
        </w:rPr>
        <w:t>care nu este</w:t>
      </w:r>
      <w:r w:rsidRPr="009344FD">
        <w:rPr>
          <w:lang w:val="ro-RO"/>
        </w:rPr>
        <w:t xml:space="preserve"> disponibil</w:t>
      </w:r>
      <w:r w:rsidR="001B69D3">
        <w:rPr>
          <w:lang w:val="ro-RO"/>
        </w:rPr>
        <w:t>ă</w:t>
      </w:r>
      <w:r w:rsidRPr="009344FD">
        <w:rPr>
          <w:lang w:val="ro-RO"/>
        </w:rPr>
        <w:t xml:space="preserve"> sau alocat</w:t>
      </w:r>
      <w:r w:rsidR="001B69D3">
        <w:rPr>
          <w:lang w:val="ro-RO"/>
        </w:rPr>
        <w:t>ă</w:t>
      </w:r>
      <w:r w:rsidRPr="009344FD">
        <w:rPr>
          <w:lang w:val="ro-RO"/>
        </w:rPr>
        <w:t xml:space="preserve"> după cum </w:t>
      </w:r>
      <w:r w:rsidR="001B69D3">
        <w:rPr>
          <w:lang w:val="ro-RO"/>
        </w:rPr>
        <w:t>ar fi</w:t>
      </w:r>
      <w:r w:rsidRPr="009344FD">
        <w:rPr>
          <w:lang w:val="ro-RO"/>
        </w:rPr>
        <w:t xml:space="preserve"> necesar pentru a menține o poziție competitivă, având în vedere ritmul potențial accelerat de schimbare</w:t>
      </w:r>
      <w:r w:rsidR="00472143" w:rsidRPr="009344FD">
        <w:rPr>
          <w:lang w:val="ro-RO"/>
        </w:rPr>
        <w:t>.</w:t>
      </w:r>
    </w:p>
    <w:p w14:paraId="54170160" w14:textId="39C3F29C" w:rsidR="00472143" w:rsidRPr="009344FD" w:rsidRDefault="0082303D" w:rsidP="002C6BEA">
      <w:pPr>
        <w:pStyle w:val="Heading2"/>
        <w:jc w:val="both"/>
        <w:rPr>
          <w:lang w:val="ro-RO"/>
        </w:rPr>
      </w:pPr>
      <w:r w:rsidRPr="009344FD">
        <w:rPr>
          <w:lang w:val="ro-RO"/>
        </w:rPr>
        <w:t xml:space="preserve">Evenimente geopolitice sau acțiuni guvernamentale </w:t>
      </w:r>
    </w:p>
    <w:p w14:paraId="0C28C63E" w14:textId="78E3F56D" w:rsidR="00A64139" w:rsidRPr="009344FD" w:rsidRDefault="0082303D" w:rsidP="002C6BEA">
      <w:pPr>
        <w:jc w:val="both"/>
        <w:rPr>
          <w:lang w:val="ro-RO"/>
        </w:rPr>
      </w:pPr>
      <w:r w:rsidRPr="009344FD">
        <w:rPr>
          <w:lang w:val="ro-RO"/>
        </w:rPr>
        <w:t xml:space="preserve">O serie de evenimente geopolitice </w:t>
      </w:r>
      <w:r w:rsidR="006F2A69" w:rsidRPr="009344FD">
        <w:rPr>
          <w:lang w:val="ro-RO"/>
        </w:rPr>
        <w:t>sau acțiuni guvernamentale</w:t>
      </w:r>
      <w:r w:rsidR="002A39DB" w:rsidRPr="009344FD">
        <w:rPr>
          <w:lang w:val="ro-RO"/>
        </w:rPr>
        <w:t xml:space="preserve">, </w:t>
      </w:r>
      <w:r w:rsidR="006F2A69" w:rsidRPr="009344FD">
        <w:rPr>
          <w:lang w:val="ro-RO"/>
        </w:rPr>
        <w:t>precum tulburările politice sau sancțiuni</w:t>
      </w:r>
      <w:r w:rsidR="00D40765">
        <w:rPr>
          <w:lang w:val="ro-RO"/>
        </w:rPr>
        <w:t>le</w:t>
      </w:r>
      <w:r w:rsidR="006F2A69" w:rsidRPr="009344FD">
        <w:rPr>
          <w:lang w:val="ro-RO"/>
        </w:rPr>
        <w:t xml:space="preserve"> guvernamentale</w:t>
      </w:r>
      <w:r w:rsidR="002A39DB" w:rsidRPr="009344FD">
        <w:rPr>
          <w:lang w:val="ro-RO"/>
        </w:rPr>
        <w:t xml:space="preserve">, </w:t>
      </w:r>
      <w:r w:rsidR="006F2A69" w:rsidRPr="009344FD">
        <w:rPr>
          <w:lang w:val="ro-RO"/>
        </w:rPr>
        <w:t>care afectează afacerea</w:t>
      </w:r>
      <w:r w:rsidR="002A39DB" w:rsidRPr="009344FD">
        <w:rPr>
          <w:lang w:val="ro-RO"/>
        </w:rPr>
        <w:t>.</w:t>
      </w:r>
    </w:p>
    <w:p w14:paraId="728586D6" w14:textId="0B0DF992" w:rsidR="00A64139" w:rsidRPr="009344FD" w:rsidRDefault="006F2A69" w:rsidP="002C6BEA">
      <w:pPr>
        <w:pStyle w:val="Heading2"/>
        <w:jc w:val="both"/>
        <w:rPr>
          <w:lang w:val="ro-RO"/>
        </w:rPr>
      </w:pPr>
      <w:r w:rsidRPr="009344FD">
        <w:rPr>
          <w:lang w:val="ro-RO"/>
        </w:rPr>
        <w:t>Creștere anorganică</w:t>
      </w:r>
    </w:p>
    <w:p w14:paraId="054EF0EF" w14:textId="43BA391D" w:rsidR="00A64139" w:rsidRPr="009344FD" w:rsidRDefault="006F2A69" w:rsidP="002C6BEA">
      <w:pPr>
        <w:jc w:val="both"/>
        <w:rPr>
          <w:lang w:val="ro-RO"/>
        </w:rPr>
      </w:pPr>
      <w:r w:rsidRPr="009344FD">
        <w:rPr>
          <w:lang w:val="ro-RO"/>
        </w:rPr>
        <w:t xml:space="preserve">Incapacitatea de a identifica, valorifica și integra parteneriatele pentru a suplimenta și spori capacitățile de </w:t>
      </w:r>
      <w:r w:rsidR="00D40765">
        <w:rPr>
          <w:lang w:val="ro-RO"/>
        </w:rPr>
        <w:t>prestare</w:t>
      </w:r>
      <w:r w:rsidRPr="009344FD">
        <w:rPr>
          <w:lang w:val="ro-RO"/>
        </w:rPr>
        <w:t xml:space="preserve"> a serviciilor și </w:t>
      </w:r>
      <w:r w:rsidR="001B69D3">
        <w:rPr>
          <w:lang w:val="ro-RO"/>
        </w:rPr>
        <w:t>dezvoltarea</w:t>
      </w:r>
      <w:r w:rsidR="00A64139" w:rsidRPr="009344FD">
        <w:rPr>
          <w:lang w:val="ro-RO"/>
        </w:rPr>
        <w:t>.</w:t>
      </w:r>
    </w:p>
    <w:p w14:paraId="304F7D40" w14:textId="57D53FEA" w:rsidR="0027744F" w:rsidRPr="009344FD" w:rsidRDefault="006F2A69" w:rsidP="002C6BEA">
      <w:pPr>
        <w:pStyle w:val="Heading2"/>
        <w:jc w:val="both"/>
        <w:rPr>
          <w:lang w:val="ro-RO"/>
        </w:rPr>
      </w:pPr>
      <w:r w:rsidRPr="009344FD">
        <w:rPr>
          <w:lang w:val="ro-RO"/>
        </w:rPr>
        <w:t>Protecția informației</w:t>
      </w:r>
    </w:p>
    <w:p w14:paraId="27B67376" w14:textId="387CAB54" w:rsidR="00690BCA" w:rsidRPr="009344FD" w:rsidRDefault="00986D7A" w:rsidP="002C6BEA">
      <w:pPr>
        <w:jc w:val="both"/>
        <w:rPr>
          <w:lang w:val="ro-RO"/>
        </w:rPr>
      </w:pPr>
      <w:r w:rsidRPr="009344FD">
        <w:rPr>
          <w:lang w:val="ro-RO"/>
        </w:rPr>
        <w:t>Eșec semnificativ de a proteja informațiile confidențiale,</w:t>
      </w:r>
      <w:r w:rsidR="002C6BEA">
        <w:rPr>
          <w:lang w:val="ro-RO"/>
        </w:rPr>
        <w:t xml:space="preserve"> </w:t>
      </w:r>
      <w:r w:rsidRPr="009344FD">
        <w:rPr>
          <w:lang w:val="ro-RO"/>
        </w:rPr>
        <w:t>proprietatea intelectuală sau informațiile de identificare personală, cum ar fi securitatea cibernetică deficitară sau comportamentul necorespunzător al angajaților</w:t>
      </w:r>
      <w:r w:rsidR="00690BCA" w:rsidRPr="009344FD">
        <w:rPr>
          <w:lang w:val="ro-RO"/>
        </w:rPr>
        <w:t>.</w:t>
      </w:r>
    </w:p>
    <w:p w14:paraId="18BF8A5D" w14:textId="021FF6A2" w:rsidR="00690BCA" w:rsidRPr="009344FD" w:rsidRDefault="000D63D4" w:rsidP="002C6BEA">
      <w:pPr>
        <w:pStyle w:val="Heading2"/>
        <w:jc w:val="both"/>
        <w:rPr>
          <w:lang w:val="ro-RO"/>
        </w:rPr>
      </w:pPr>
      <w:r w:rsidRPr="009344FD">
        <w:rPr>
          <w:lang w:val="ro-RO"/>
        </w:rPr>
        <w:t>Eșec</w:t>
      </w:r>
      <w:r w:rsidR="001B69D3">
        <w:rPr>
          <w:lang w:val="ro-RO"/>
        </w:rPr>
        <w:t>uri</w:t>
      </w:r>
      <w:r w:rsidRPr="009344FD">
        <w:rPr>
          <w:lang w:val="ro-RO"/>
        </w:rPr>
        <w:t xml:space="preserve"> IT</w:t>
      </w:r>
    </w:p>
    <w:p w14:paraId="710F367E" w14:textId="70041BDE" w:rsidR="00690BCA" w:rsidRPr="009344FD" w:rsidRDefault="000D63D4" w:rsidP="002C6BEA">
      <w:pPr>
        <w:jc w:val="both"/>
        <w:rPr>
          <w:lang w:val="ro-RO"/>
        </w:rPr>
      </w:pPr>
      <w:r w:rsidRPr="009344FD">
        <w:rPr>
          <w:lang w:val="ro-RO"/>
        </w:rPr>
        <w:t xml:space="preserve">Pierderi sau </w:t>
      </w:r>
      <w:r w:rsidR="00D40765">
        <w:rPr>
          <w:lang w:val="ro-RO"/>
        </w:rPr>
        <w:t>spargeri</w:t>
      </w:r>
      <w:r w:rsidRPr="009344FD">
        <w:rPr>
          <w:lang w:val="ro-RO"/>
        </w:rPr>
        <w:t xml:space="preserve"> semnificative ale sistemelor IT cheie - de exemplu, ca urmare a atacurilor cibernetice - fără un termen rezonabil de r</w:t>
      </w:r>
      <w:r w:rsidR="001B69D3">
        <w:rPr>
          <w:lang w:val="ro-RO"/>
        </w:rPr>
        <w:t>emediere</w:t>
      </w:r>
      <w:r w:rsidR="00690BCA" w:rsidRPr="009344FD">
        <w:rPr>
          <w:lang w:val="ro-RO"/>
        </w:rPr>
        <w:t>.</w:t>
      </w:r>
    </w:p>
    <w:p w14:paraId="5AD45AAA" w14:textId="016AAD5A" w:rsidR="00690BCA" w:rsidRPr="009344FD" w:rsidRDefault="000D63D4" w:rsidP="002C6BEA">
      <w:pPr>
        <w:pStyle w:val="Heading2"/>
        <w:jc w:val="both"/>
        <w:rPr>
          <w:lang w:val="ro-RO"/>
        </w:rPr>
      </w:pPr>
      <w:r w:rsidRPr="009344FD">
        <w:rPr>
          <w:lang w:val="ro-RO"/>
        </w:rPr>
        <w:t>Tehnologia</w:t>
      </w:r>
    </w:p>
    <w:p w14:paraId="00C3D1A5" w14:textId="2F85C961" w:rsidR="000D63D4" w:rsidRPr="009344FD" w:rsidRDefault="000D63D4" w:rsidP="002C6BEA">
      <w:pPr>
        <w:pStyle w:val="Heading2"/>
        <w:jc w:val="both"/>
        <w:rPr>
          <w:rFonts w:ascii="Arial" w:eastAsiaTheme="minorHAnsi" w:hAnsi="Arial" w:cstheme="minorBidi"/>
          <w:color w:val="auto"/>
          <w:sz w:val="20"/>
          <w:szCs w:val="22"/>
          <w:lang w:val="ro-RO"/>
        </w:rPr>
      </w:pPr>
      <w:r w:rsidRPr="009344FD">
        <w:rPr>
          <w:rFonts w:ascii="Arial" w:eastAsiaTheme="minorHAnsi" w:hAnsi="Arial" w:cstheme="minorBidi"/>
          <w:color w:val="auto"/>
          <w:sz w:val="20"/>
          <w:szCs w:val="22"/>
          <w:lang w:val="ro-RO"/>
        </w:rPr>
        <w:t xml:space="preserve">Incapacitatea de a identifica și de a încorpora progresele tehnologice pentru a facilita capacitățile tehnologice în cadrul </w:t>
      </w:r>
      <w:r w:rsidR="009344FD" w:rsidRPr="009344FD">
        <w:rPr>
          <w:rFonts w:ascii="Arial" w:eastAsiaTheme="minorHAnsi" w:hAnsi="Arial" w:cstheme="minorBidi"/>
          <w:color w:val="auto"/>
          <w:sz w:val="20"/>
          <w:szCs w:val="22"/>
          <w:lang w:val="ro-RO"/>
        </w:rPr>
        <w:t>afacerii și a prestării</w:t>
      </w:r>
      <w:r w:rsidRPr="009344FD">
        <w:rPr>
          <w:rFonts w:ascii="Arial" w:eastAsiaTheme="minorHAnsi" w:hAnsi="Arial" w:cstheme="minorBidi"/>
          <w:color w:val="auto"/>
          <w:sz w:val="20"/>
          <w:szCs w:val="22"/>
          <w:lang w:val="ro-RO"/>
        </w:rPr>
        <w:t xml:space="preserve"> de servicii și pentru a adapta afacerea</w:t>
      </w:r>
      <w:r w:rsidR="009344FD" w:rsidRPr="009344FD">
        <w:rPr>
          <w:rFonts w:ascii="Arial" w:eastAsiaTheme="minorHAnsi" w:hAnsi="Arial" w:cstheme="minorBidi"/>
          <w:color w:val="auto"/>
          <w:sz w:val="20"/>
          <w:szCs w:val="22"/>
          <w:lang w:val="ro-RO"/>
        </w:rPr>
        <w:t xml:space="preserve"> în modul corespunzător</w:t>
      </w:r>
      <w:r w:rsidRPr="009344FD">
        <w:rPr>
          <w:rFonts w:ascii="Arial" w:eastAsiaTheme="minorHAnsi" w:hAnsi="Arial" w:cstheme="minorBidi"/>
          <w:color w:val="auto"/>
          <w:sz w:val="20"/>
          <w:szCs w:val="22"/>
          <w:lang w:val="ro-RO"/>
        </w:rPr>
        <w:t>.</w:t>
      </w:r>
    </w:p>
    <w:p w14:paraId="225C709D" w14:textId="77777777" w:rsidR="000D63D4" w:rsidRPr="009344FD" w:rsidRDefault="000D63D4" w:rsidP="002C6BEA">
      <w:pPr>
        <w:pStyle w:val="Heading2"/>
        <w:jc w:val="both"/>
        <w:rPr>
          <w:rFonts w:ascii="Arial" w:eastAsiaTheme="minorHAnsi" w:hAnsi="Arial" w:cstheme="minorBidi"/>
          <w:color w:val="auto"/>
          <w:sz w:val="20"/>
          <w:szCs w:val="22"/>
          <w:lang w:val="ro-RO"/>
        </w:rPr>
      </w:pPr>
    </w:p>
    <w:p w14:paraId="1EDAD995" w14:textId="57B74745" w:rsidR="00690BCA" w:rsidRPr="009344FD" w:rsidRDefault="009344FD" w:rsidP="002C6BEA">
      <w:pPr>
        <w:pStyle w:val="Heading2"/>
        <w:jc w:val="both"/>
        <w:rPr>
          <w:lang w:val="ro-RO"/>
        </w:rPr>
      </w:pPr>
      <w:r w:rsidRPr="009344FD">
        <w:rPr>
          <w:lang w:val="ro-RO"/>
        </w:rPr>
        <w:t>Eficiența operațională</w:t>
      </w:r>
    </w:p>
    <w:p w14:paraId="17848949" w14:textId="786C0109" w:rsidR="002A39DB" w:rsidRPr="00820FB4" w:rsidRDefault="009344FD" w:rsidP="002C6BEA">
      <w:pPr>
        <w:jc w:val="both"/>
        <w:rPr>
          <w:lang w:val="en-US"/>
        </w:rPr>
      </w:pPr>
      <w:r w:rsidRPr="009344FD">
        <w:rPr>
          <w:lang w:val="ro-RO"/>
        </w:rPr>
        <w:t>In</w:t>
      </w:r>
      <w:r w:rsidR="001B69D3">
        <w:rPr>
          <w:lang w:val="ro-RO"/>
        </w:rPr>
        <w:t>capacitatea</w:t>
      </w:r>
      <w:r w:rsidRPr="009344FD">
        <w:rPr>
          <w:lang w:val="ro-RO"/>
        </w:rPr>
        <w:t xml:space="preserve"> de gestiona un model de afaceri eficient din punct de vedere operațional pentru a reduce </w:t>
      </w:r>
      <w:r w:rsidR="001B69D3">
        <w:rPr>
          <w:lang w:val="ro-RO"/>
        </w:rPr>
        <w:t xml:space="preserve">în mod </w:t>
      </w:r>
      <w:r w:rsidRPr="009344FD">
        <w:rPr>
          <w:lang w:val="ro-RO"/>
        </w:rPr>
        <w:t>competitiv costu</w:t>
      </w:r>
      <w:r w:rsidR="00D40765">
        <w:rPr>
          <w:lang w:val="ro-RO"/>
        </w:rPr>
        <w:t>rile de</w:t>
      </w:r>
      <w:r w:rsidR="002A39DB" w:rsidRPr="009344FD">
        <w:rPr>
          <w:lang w:val="ro-RO"/>
        </w:rPr>
        <w:t>:</w:t>
      </w:r>
    </w:p>
    <w:p w14:paraId="0D14F137" w14:textId="19EE72DC" w:rsidR="002A39DB" w:rsidRPr="009344FD" w:rsidRDefault="009344FD" w:rsidP="002C6BEA">
      <w:pPr>
        <w:pStyle w:val="ListParagraph"/>
        <w:numPr>
          <w:ilvl w:val="0"/>
          <w:numId w:val="8"/>
        </w:numPr>
        <w:jc w:val="both"/>
        <w:rPr>
          <w:lang w:val="ro-RO"/>
        </w:rPr>
      </w:pPr>
      <w:r w:rsidRPr="009344FD">
        <w:rPr>
          <w:lang w:val="ro-RO"/>
        </w:rPr>
        <w:t>infrastructur</w:t>
      </w:r>
      <w:r w:rsidR="00D40765">
        <w:rPr>
          <w:lang w:val="ro-RO"/>
        </w:rPr>
        <w:t>ă</w:t>
      </w:r>
      <w:r w:rsidRPr="009344FD">
        <w:rPr>
          <w:lang w:val="ro-RO"/>
        </w:rPr>
        <w:t xml:space="preserve"> sau </w:t>
      </w:r>
      <w:r w:rsidR="00C0386E">
        <w:rPr>
          <w:lang w:val="ro-RO"/>
        </w:rPr>
        <w:t xml:space="preserve">ale </w:t>
      </w:r>
      <w:bookmarkStart w:id="1" w:name="_GoBack"/>
      <w:bookmarkEnd w:id="1"/>
      <w:r w:rsidRPr="004D2727">
        <w:rPr>
          <w:i/>
          <w:iCs/>
          <w:lang w:val="ro-RO"/>
        </w:rPr>
        <w:t>back</w:t>
      </w:r>
      <w:r w:rsidRPr="009344FD">
        <w:rPr>
          <w:lang w:val="ro-RO"/>
        </w:rPr>
        <w:t>-</w:t>
      </w:r>
      <w:proofErr w:type="spellStart"/>
      <w:r w:rsidRPr="004D2727">
        <w:rPr>
          <w:i/>
          <w:iCs/>
          <w:lang w:val="ro-RO"/>
        </w:rPr>
        <w:t>office</w:t>
      </w:r>
      <w:proofErr w:type="spellEnd"/>
      <w:r w:rsidRPr="009344FD">
        <w:rPr>
          <w:lang w:val="ro-RO"/>
        </w:rPr>
        <w:t>-ului, inclusiv externalizarea IT</w:t>
      </w:r>
    </w:p>
    <w:p w14:paraId="10A7D862" w14:textId="5D64DC08" w:rsidR="00690BCA" w:rsidRPr="009344FD" w:rsidRDefault="009344FD" w:rsidP="002C6BEA">
      <w:pPr>
        <w:pStyle w:val="ListParagraph"/>
        <w:numPr>
          <w:ilvl w:val="0"/>
          <w:numId w:val="8"/>
        </w:numPr>
        <w:jc w:val="both"/>
        <w:rPr>
          <w:lang w:val="ro-RO"/>
        </w:rPr>
      </w:pPr>
      <w:r w:rsidRPr="009344FD">
        <w:rPr>
          <w:lang w:val="ro-RO"/>
        </w:rPr>
        <w:t>prest</w:t>
      </w:r>
      <w:r w:rsidR="00D40765">
        <w:rPr>
          <w:lang w:val="ro-RO"/>
        </w:rPr>
        <w:t>are a</w:t>
      </w:r>
      <w:r w:rsidRPr="009344FD">
        <w:rPr>
          <w:lang w:val="ro-RO"/>
        </w:rPr>
        <w:t xml:space="preserve"> serviciilor</w:t>
      </w:r>
      <w:r w:rsidR="00690BCA" w:rsidRPr="009344FD">
        <w:rPr>
          <w:lang w:val="ro-RO"/>
        </w:rPr>
        <w:t>.</w:t>
      </w:r>
    </w:p>
    <w:p w14:paraId="3D9B4ED5" w14:textId="734542E0" w:rsidR="00690BCA" w:rsidRPr="009344FD" w:rsidRDefault="009344FD" w:rsidP="002C6BEA">
      <w:pPr>
        <w:pStyle w:val="Heading2"/>
        <w:jc w:val="both"/>
        <w:rPr>
          <w:lang w:val="ro-RO"/>
        </w:rPr>
      </w:pPr>
      <w:r w:rsidRPr="009344FD">
        <w:rPr>
          <w:lang w:val="ro-RO"/>
        </w:rPr>
        <w:t>Managementul personalului</w:t>
      </w:r>
    </w:p>
    <w:p w14:paraId="4CA3351E" w14:textId="4B398DAF" w:rsidR="002A39DB" w:rsidRPr="009344FD" w:rsidRDefault="009344FD" w:rsidP="002C6BEA">
      <w:pPr>
        <w:jc w:val="both"/>
        <w:rPr>
          <w:lang w:val="ro-RO"/>
        </w:rPr>
      </w:pPr>
      <w:r w:rsidRPr="009344FD">
        <w:rPr>
          <w:lang w:val="ro-RO"/>
        </w:rPr>
        <w:t>Incapacitatea de</w:t>
      </w:r>
      <w:r w:rsidR="002A39DB" w:rsidRPr="009344FD">
        <w:rPr>
          <w:lang w:val="ro-RO"/>
        </w:rPr>
        <w:t>:</w:t>
      </w:r>
    </w:p>
    <w:p w14:paraId="12176A63" w14:textId="67EB4266" w:rsidR="009344FD" w:rsidRPr="009344FD" w:rsidRDefault="009344FD" w:rsidP="002C6BEA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9344FD">
        <w:rPr>
          <w:lang w:val="ro-RO"/>
        </w:rPr>
        <w:t xml:space="preserve">a atrage și </w:t>
      </w:r>
      <w:r w:rsidR="001B69D3">
        <w:rPr>
          <w:lang w:val="ro-RO"/>
        </w:rPr>
        <w:t xml:space="preserve">păstra </w:t>
      </w:r>
      <w:r w:rsidRPr="009344FD">
        <w:rPr>
          <w:lang w:val="ro-RO"/>
        </w:rPr>
        <w:t>angajații, competențe</w:t>
      </w:r>
      <w:r w:rsidR="00C41141">
        <w:rPr>
          <w:lang w:val="ro-RO"/>
        </w:rPr>
        <w:t>le</w:t>
      </w:r>
      <w:r w:rsidRPr="009344FD">
        <w:rPr>
          <w:lang w:val="ro-RO"/>
        </w:rPr>
        <w:t xml:space="preserve"> și experiența necesar</w:t>
      </w:r>
      <w:r w:rsidR="001B69D3">
        <w:rPr>
          <w:lang w:val="ro-RO"/>
        </w:rPr>
        <w:t xml:space="preserve">ă </w:t>
      </w:r>
      <w:r w:rsidRPr="009344FD">
        <w:rPr>
          <w:lang w:val="ro-RO"/>
        </w:rPr>
        <w:t>pentru a deservi clienții</w:t>
      </w:r>
    </w:p>
    <w:p w14:paraId="21993F8E" w14:textId="1A297775" w:rsidR="00690BCA" w:rsidRPr="009344FD" w:rsidRDefault="009344FD" w:rsidP="002C6BEA">
      <w:pPr>
        <w:pStyle w:val="ListParagraph"/>
        <w:numPr>
          <w:ilvl w:val="0"/>
          <w:numId w:val="9"/>
        </w:numPr>
        <w:jc w:val="both"/>
        <w:rPr>
          <w:lang w:val="ro-RO"/>
        </w:rPr>
      </w:pPr>
      <w:r w:rsidRPr="009344FD">
        <w:rPr>
          <w:lang w:val="ro-RO"/>
        </w:rPr>
        <w:t>a recunoaște</w:t>
      </w:r>
      <w:r w:rsidR="0040763D" w:rsidRPr="009344FD">
        <w:rPr>
          <w:lang w:val="ro-RO"/>
        </w:rPr>
        <w:t xml:space="preserve"> </w:t>
      </w:r>
      <w:r w:rsidRPr="009344FD">
        <w:rPr>
          <w:lang w:val="ro-RO"/>
        </w:rPr>
        <w:t>și a recompens</w:t>
      </w:r>
      <w:r>
        <w:rPr>
          <w:lang w:val="ro-RO"/>
        </w:rPr>
        <w:t>a personalul</w:t>
      </w:r>
      <w:r w:rsidR="0040763D" w:rsidRPr="009344FD">
        <w:rPr>
          <w:lang w:val="ro-RO"/>
        </w:rPr>
        <w:t xml:space="preserve">, </w:t>
      </w:r>
      <w:r w:rsidRPr="009344FD">
        <w:rPr>
          <w:lang w:val="ro-RO"/>
        </w:rPr>
        <w:t>inclusiv pentru practicile inovatoare</w:t>
      </w:r>
      <w:r w:rsidR="0040763D" w:rsidRPr="009344FD">
        <w:rPr>
          <w:lang w:val="ro-RO"/>
        </w:rPr>
        <w:t>.</w:t>
      </w:r>
    </w:p>
    <w:p w14:paraId="0A71C918" w14:textId="2D4D7161" w:rsidR="00472143" w:rsidRPr="009344FD" w:rsidRDefault="007F48FA" w:rsidP="002C6BEA">
      <w:pPr>
        <w:pStyle w:val="Heading2"/>
        <w:jc w:val="both"/>
        <w:rPr>
          <w:lang w:val="ro-RO"/>
        </w:rPr>
      </w:pPr>
      <w:r w:rsidRPr="007F48FA">
        <w:rPr>
          <w:lang w:val="ro-RO"/>
        </w:rPr>
        <w:lastRenderedPageBreak/>
        <w:t xml:space="preserve">Pierderi semnificative </w:t>
      </w:r>
      <w:r w:rsidR="008D6A56">
        <w:rPr>
          <w:lang w:val="ro-RO"/>
        </w:rPr>
        <w:t>de</w:t>
      </w:r>
      <w:r w:rsidRPr="007F48FA">
        <w:rPr>
          <w:lang w:val="ro-RO"/>
        </w:rPr>
        <w:t xml:space="preserve"> clienți</w:t>
      </w:r>
    </w:p>
    <w:p w14:paraId="505C6653" w14:textId="63834E2A" w:rsidR="005B34F5" w:rsidRPr="009344FD" w:rsidRDefault="008D6A56" w:rsidP="002C6BEA">
      <w:pPr>
        <w:jc w:val="both"/>
        <w:rPr>
          <w:lang w:val="ro-RO"/>
        </w:rPr>
      </w:pPr>
      <w:r>
        <w:rPr>
          <w:lang w:val="ro-RO"/>
        </w:rPr>
        <w:t>Serviciul clientelă</w:t>
      </w:r>
      <w:r w:rsidRPr="008D6A56">
        <w:rPr>
          <w:lang w:val="ro-RO"/>
        </w:rPr>
        <w:t xml:space="preserve"> sau eșecul </w:t>
      </w:r>
      <w:r>
        <w:rPr>
          <w:lang w:val="ro-RO"/>
        </w:rPr>
        <w:t>în</w:t>
      </w:r>
      <w:r w:rsidRPr="008D6A56">
        <w:rPr>
          <w:lang w:val="ro-RO"/>
        </w:rPr>
        <w:t xml:space="preserve"> </w:t>
      </w:r>
      <w:r>
        <w:rPr>
          <w:lang w:val="ro-RO"/>
        </w:rPr>
        <w:t>prestarea</w:t>
      </w:r>
      <w:r w:rsidRPr="008D6A56">
        <w:rPr>
          <w:lang w:val="ro-RO"/>
        </w:rPr>
        <w:t xml:space="preserve"> </w:t>
      </w:r>
      <w:r>
        <w:rPr>
          <w:lang w:val="ro-RO"/>
        </w:rPr>
        <w:t xml:space="preserve">serviciilor </w:t>
      </w:r>
      <w:r w:rsidRPr="008D6A56">
        <w:rPr>
          <w:lang w:val="ro-RO"/>
        </w:rPr>
        <w:t>care duce la pierderea unuia sau mai multor clienți semnificativi</w:t>
      </w:r>
      <w:r w:rsidR="005B34F5" w:rsidRPr="009344FD">
        <w:rPr>
          <w:lang w:val="ro-RO"/>
        </w:rPr>
        <w:t>.</w:t>
      </w:r>
    </w:p>
    <w:p w14:paraId="6EF60719" w14:textId="1D47B924" w:rsidR="005B34F5" w:rsidRPr="009344FD" w:rsidRDefault="001D6AF4" w:rsidP="002C6BEA">
      <w:pPr>
        <w:pStyle w:val="Heading2"/>
        <w:jc w:val="both"/>
        <w:rPr>
          <w:lang w:val="ro-RO"/>
        </w:rPr>
      </w:pPr>
      <w:r w:rsidRPr="001D6AF4">
        <w:rPr>
          <w:lang w:val="ro-RO"/>
        </w:rPr>
        <w:t xml:space="preserve">Inițiative de </w:t>
      </w:r>
      <w:r w:rsidR="001B69D3">
        <w:rPr>
          <w:lang w:val="ro-RO"/>
        </w:rPr>
        <w:t>dezvoltare</w:t>
      </w:r>
    </w:p>
    <w:p w14:paraId="659868BA" w14:textId="4A3AE141" w:rsidR="005B34F5" w:rsidRPr="009344FD" w:rsidRDefault="001D6AF4" w:rsidP="002C6BEA">
      <w:pPr>
        <w:jc w:val="both"/>
        <w:rPr>
          <w:lang w:val="ro-RO"/>
        </w:rPr>
      </w:pPr>
      <w:r w:rsidRPr="001D6AF4">
        <w:rPr>
          <w:lang w:val="ro-RO"/>
        </w:rPr>
        <w:t xml:space="preserve">Incapacitatea de a </w:t>
      </w:r>
      <w:r w:rsidR="002C6BEA">
        <w:rPr>
          <w:lang w:val="ro-RO"/>
        </w:rPr>
        <w:t>îți</w:t>
      </w:r>
      <w:r w:rsidRPr="001D6AF4">
        <w:rPr>
          <w:lang w:val="ro-RO"/>
        </w:rPr>
        <w:t xml:space="preserve"> </w:t>
      </w:r>
      <w:r w:rsidR="00CD1E44">
        <w:rPr>
          <w:lang w:val="ro-RO"/>
        </w:rPr>
        <w:t>îndeplini</w:t>
      </w:r>
      <w:r w:rsidRPr="001D6AF4">
        <w:rPr>
          <w:lang w:val="ro-RO"/>
        </w:rPr>
        <w:t xml:space="preserve"> cu succes strategia de creștere și de a </w:t>
      </w:r>
      <w:r w:rsidR="002C6BEA">
        <w:rPr>
          <w:lang w:val="ro-RO"/>
        </w:rPr>
        <w:t>îți</w:t>
      </w:r>
      <w:r w:rsidRPr="001D6AF4">
        <w:rPr>
          <w:lang w:val="ro-RO"/>
        </w:rPr>
        <w:t xml:space="preserve"> dezvolta cultura de creștere.</w:t>
      </w:r>
      <w:r w:rsidR="005B34F5" w:rsidRPr="009344FD">
        <w:rPr>
          <w:lang w:val="ro-RO"/>
        </w:rPr>
        <w:t xml:space="preserve"> </w:t>
      </w:r>
    </w:p>
    <w:p w14:paraId="6A510CE2" w14:textId="26E15AEB" w:rsidR="005B34F5" w:rsidRPr="009344FD" w:rsidRDefault="00CD1E44" w:rsidP="002C6BEA">
      <w:pPr>
        <w:pStyle w:val="Heading2"/>
        <w:jc w:val="both"/>
        <w:rPr>
          <w:lang w:val="ro-RO"/>
        </w:rPr>
      </w:pPr>
      <w:r>
        <w:rPr>
          <w:lang w:val="ro-RO"/>
        </w:rPr>
        <w:t xml:space="preserve">Reacția pieței </w:t>
      </w:r>
    </w:p>
    <w:p w14:paraId="6C360282" w14:textId="62732382" w:rsidR="005B34F5" w:rsidRPr="009344FD" w:rsidRDefault="00CD1E44" w:rsidP="002C6BEA">
      <w:pPr>
        <w:jc w:val="both"/>
        <w:rPr>
          <w:lang w:val="ro-RO"/>
        </w:rPr>
      </w:pPr>
      <w:r w:rsidRPr="00CD1E44">
        <w:rPr>
          <w:lang w:val="ro-RO"/>
        </w:rPr>
        <w:t xml:space="preserve">Reacție negativă a pieței la un angajament </w:t>
      </w:r>
      <w:r w:rsidR="00DA03DE">
        <w:rPr>
          <w:lang w:val="ro-RO"/>
        </w:rPr>
        <w:t>important</w:t>
      </w:r>
      <w:r w:rsidRPr="00CD1E44">
        <w:rPr>
          <w:lang w:val="ro-RO"/>
        </w:rPr>
        <w:t xml:space="preserve"> în ceea ce privește calitatea furnizării serviciului</w:t>
      </w:r>
      <w:r w:rsidR="005B34F5" w:rsidRPr="009344FD">
        <w:rPr>
          <w:lang w:val="ro-RO"/>
        </w:rPr>
        <w:t>.</w:t>
      </w:r>
    </w:p>
    <w:p w14:paraId="08AFF829" w14:textId="5310C031" w:rsidR="005B34F5" w:rsidRPr="009344FD" w:rsidRDefault="00DA03DE" w:rsidP="002C6BEA">
      <w:pPr>
        <w:pStyle w:val="Heading2"/>
        <w:jc w:val="both"/>
        <w:rPr>
          <w:lang w:val="ro-RO"/>
        </w:rPr>
      </w:pPr>
      <w:r>
        <w:rPr>
          <w:lang w:val="ro-RO"/>
        </w:rPr>
        <w:t>Activele afacerii</w:t>
      </w:r>
    </w:p>
    <w:p w14:paraId="05BCF7DA" w14:textId="18860E1F" w:rsidR="00452259" w:rsidRPr="009344FD" w:rsidRDefault="00DA03DE" w:rsidP="002C6BEA">
      <w:pPr>
        <w:jc w:val="both"/>
        <w:rPr>
          <w:lang w:val="ro-RO"/>
        </w:rPr>
      </w:pPr>
      <w:r w:rsidRPr="00DA03DE">
        <w:rPr>
          <w:lang w:val="ro-RO"/>
        </w:rPr>
        <w:t>Utilizarea ineficientă a activelor în afacer</w:t>
      </w:r>
      <w:r w:rsidR="001B69D3">
        <w:rPr>
          <w:lang w:val="ro-RO"/>
        </w:rPr>
        <w:t>e</w:t>
      </w:r>
      <w:r w:rsidRPr="00DA03DE">
        <w:rPr>
          <w:lang w:val="ro-RO"/>
        </w:rPr>
        <w:t>, inclusiv</w:t>
      </w:r>
      <w:r w:rsidR="00452259" w:rsidRPr="009344FD">
        <w:rPr>
          <w:lang w:val="ro-RO"/>
        </w:rPr>
        <w:t>:</w:t>
      </w:r>
    </w:p>
    <w:p w14:paraId="458044BE" w14:textId="67546946" w:rsidR="00452259" w:rsidRPr="009344FD" w:rsidRDefault="00DA03DE" w:rsidP="002C6BEA">
      <w:pPr>
        <w:pStyle w:val="ListParagraph"/>
        <w:numPr>
          <w:ilvl w:val="0"/>
          <w:numId w:val="10"/>
        </w:numPr>
        <w:jc w:val="both"/>
        <w:rPr>
          <w:lang w:val="ro-RO"/>
        </w:rPr>
      </w:pPr>
      <w:r>
        <w:rPr>
          <w:lang w:val="ro-RO"/>
        </w:rPr>
        <w:t xml:space="preserve">conceptualizarea și comercializarea în mod necorespunzător </w:t>
      </w:r>
      <w:r w:rsidR="00C41141">
        <w:rPr>
          <w:lang w:val="ro-RO"/>
        </w:rPr>
        <w:t xml:space="preserve">a </w:t>
      </w:r>
      <w:r>
        <w:rPr>
          <w:lang w:val="ro-RO"/>
        </w:rPr>
        <w:t>mode</w:t>
      </w:r>
      <w:r w:rsidR="00336AB9">
        <w:rPr>
          <w:lang w:val="ro-RO"/>
        </w:rPr>
        <w:t>l</w:t>
      </w:r>
      <w:r w:rsidR="00C41141">
        <w:rPr>
          <w:lang w:val="ro-RO"/>
        </w:rPr>
        <w:t>ului</w:t>
      </w:r>
      <w:r w:rsidR="00336AB9">
        <w:rPr>
          <w:lang w:val="ro-RO"/>
        </w:rPr>
        <w:t xml:space="preserve"> de afaceri bazat pe active</w:t>
      </w:r>
      <w:r w:rsidR="005B34F5" w:rsidRPr="009344FD">
        <w:rPr>
          <w:lang w:val="ro-RO"/>
        </w:rPr>
        <w:t xml:space="preserve">, </w:t>
      </w:r>
      <w:r w:rsidR="00336AB9">
        <w:rPr>
          <w:lang w:val="ro-RO"/>
        </w:rPr>
        <w:t>cât și incapacitatea de a-l integra în strategii funcționale</w:t>
      </w:r>
    </w:p>
    <w:p w14:paraId="6935101B" w14:textId="0FAB45BE" w:rsidR="005B34F5" w:rsidRPr="009344FD" w:rsidRDefault="00336AB9" w:rsidP="002C6BEA">
      <w:pPr>
        <w:pStyle w:val="ListParagraph"/>
        <w:numPr>
          <w:ilvl w:val="0"/>
          <w:numId w:val="10"/>
        </w:numPr>
        <w:jc w:val="both"/>
        <w:rPr>
          <w:lang w:val="ro-RO"/>
        </w:rPr>
      </w:pPr>
      <w:r>
        <w:rPr>
          <w:lang w:val="ro-RO"/>
        </w:rPr>
        <w:t>evitarea punerii în aplicare a standardelor corespunzătoare pentru gestionarea activelor și a riscurilor aferente</w:t>
      </w:r>
      <w:r w:rsidR="005B34F5" w:rsidRPr="009344FD">
        <w:rPr>
          <w:lang w:val="ro-RO"/>
        </w:rPr>
        <w:t>.</w:t>
      </w:r>
    </w:p>
    <w:p w14:paraId="3A225EEC" w14:textId="46CA994E" w:rsidR="005B34F5" w:rsidRPr="009344FD" w:rsidRDefault="00336AB9" w:rsidP="002C6BEA">
      <w:pPr>
        <w:pStyle w:val="Heading2"/>
        <w:jc w:val="both"/>
        <w:rPr>
          <w:lang w:val="ro-RO"/>
        </w:rPr>
      </w:pPr>
      <w:r w:rsidRPr="00336AB9">
        <w:rPr>
          <w:lang w:val="ro-RO"/>
        </w:rPr>
        <w:t>Expunerea financiară</w:t>
      </w:r>
    </w:p>
    <w:p w14:paraId="4A0EAC65" w14:textId="7818864E" w:rsidR="005B34F5" w:rsidRPr="009344FD" w:rsidRDefault="00336AB9" w:rsidP="002C6BEA">
      <w:pPr>
        <w:jc w:val="both"/>
        <w:rPr>
          <w:lang w:val="ro-RO"/>
        </w:rPr>
      </w:pPr>
      <w:r w:rsidRPr="00336AB9">
        <w:rPr>
          <w:lang w:val="ro-RO"/>
        </w:rPr>
        <w:t xml:space="preserve">Incapacitatea de a </w:t>
      </w:r>
      <w:r w:rsidR="002C6BEA">
        <w:rPr>
          <w:lang w:val="ro-RO"/>
        </w:rPr>
        <w:t>îți</w:t>
      </w:r>
      <w:r w:rsidRPr="00336AB9">
        <w:rPr>
          <w:lang w:val="ro-RO"/>
        </w:rPr>
        <w:t xml:space="preserve"> îndeplini obligațiile financiare</w:t>
      </w:r>
      <w:r w:rsidR="005B34F5" w:rsidRPr="009344FD">
        <w:rPr>
          <w:lang w:val="ro-RO"/>
        </w:rPr>
        <w:t>.</w:t>
      </w:r>
    </w:p>
    <w:bookmarkEnd w:id="0"/>
    <w:p w14:paraId="2DC04209" w14:textId="1FB18521" w:rsidR="00BE289C" w:rsidRPr="009344FD" w:rsidRDefault="00BE289C" w:rsidP="002C6BEA">
      <w:pPr>
        <w:jc w:val="both"/>
        <w:rPr>
          <w:lang w:val="ro-RO"/>
        </w:rPr>
      </w:pPr>
    </w:p>
    <w:sectPr w:rsidR="00BE289C" w:rsidRPr="009344FD" w:rsidSect="00B2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21B18" w14:textId="77777777" w:rsidR="003E2466" w:rsidRDefault="003E2466" w:rsidP="00C02CE7">
      <w:pPr>
        <w:spacing w:after="0" w:line="240" w:lineRule="auto"/>
      </w:pPr>
      <w:r>
        <w:separator/>
      </w:r>
    </w:p>
  </w:endnote>
  <w:endnote w:type="continuationSeparator" w:id="0">
    <w:p w14:paraId="3C670F51" w14:textId="77777777" w:rsidR="003E2466" w:rsidRDefault="003E2466" w:rsidP="00C0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63D02" w14:textId="77777777" w:rsidR="003E2466" w:rsidRDefault="003E2466" w:rsidP="00C02CE7">
      <w:pPr>
        <w:spacing w:after="0" w:line="240" w:lineRule="auto"/>
      </w:pPr>
      <w:r>
        <w:separator/>
      </w:r>
    </w:p>
  </w:footnote>
  <w:footnote w:type="continuationSeparator" w:id="0">
    <w:p w14:paraId="4859E202" w14:textId="77777777" w:rsidR="003E2466" w:rsidRDefault="003E2466" w:rsidP="00C02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7670"/>
    <w:multiLevelType w:val="hybridMultilevel"/>
    <w:tmpl w:val="024EA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67EAE"/>
    <w:multiLevelType w:val="hybridMultilevel"/>
    <w:tmpl w:val="6FDA6ACC"/>
    <w:lvl w:ilvl="0" w:tplc="88CEA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" w15:restartNumberingAfterBreak="0">
    <w:nsid w:val="42200FC0"/>
    <w:multiLevelType w:val="hybridMultilevel"/>
    <w:tmpl w:val="404CED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672A0"/>
    <w:multiLevelType w:val="hybridMultilevel"/>
    <w:tmpl w:val="5C8E1BE4"/>
    <w:lvl w:ilvl="0" w:tplc="E47037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1"/>
    <w:rsid w:val="000610CC"/>
    <w:rsid w:val="000A52AF"/>
    <w:rsid w:val="000D4864"/>
    <w:rsid w:val="000D63D4"/>
    <w:rsid w:val="000F1D3A"/>
    <w:rsid w:val="00153540"/>
    <w:rsid w:val="001A0E2C"/>
    <w:rsid w:val="001B69D3"/>
    <w:rsid w:val="001D6AF4"/>
    <w:rsid w:val="0027744F"/>
    <w:rsid w:val="002A39DB"/>
    <w:rsid w:val="002C6BEA"/>
    <w:rsid w:val="00336AB9"/>
    <w:rsid w:val="003849E1"/>
    <w:rsid w:val="003A062A"/>
    <w:rsid w:val="003B451E"/>
    <w:rsid w:val="003E2466"/>
    <w:rsid w:val="0040763D"/>
    <w:rsid w:val="004172E9"/>
    <w:rsid w:val="00452259"/>
    <w:rsid w:val="00472143"/>
    <w:rsid w:val="00474A23"/>
    <w:rsid w:val="0048689C"/>
    <w:rsid w:val="004A3225"/>
    <w:rsid w:val="004D2727"/>
    <w:rsid w:val="004E6BD3"/>
    <w:rsid w:val="005B34F5"/>
    <w:rsid w:val="00637243"/>
    <w:rsid w:val="00690BCA"/>
    <w:rsid w:val="006B023D"/>
    <w:rsid w:val="006C3573"/>
    <w:rsid w:val="006E4044"/>
    <w:rsid w:val="006F2A69"/>
    <w:rsid w:val="00716D4A"/>
    <w:rsid w:val="00731A0A"/>
    <w:rsid w:val="00772832"/>
    <w:rsid w:val="007F48FA"/>
    <w:rsid w:val="00820FB4"/>
    <w:rsid w:val="0082303D"/>
    <w:rsid w:val="00880FBC"/>
    <w:rsid w:val="008A414D"/>
    <w:rsid w:val="008B41EE"/>
    <w:rsid w:val="008D6A56"/>
    <w:rsid w:val="009344FD"/>
    <w:rsid w:val="00986D7A"/>
    <w:rsid w:val="00994503"/>
    <w:rsid w:val="009A7B6E"/>
    <w:rsid w:val="009E6A2A"/>
    <w:rsid w:val="00A64139"/>
    <w:rsid w:val="00AD0968"/>
    <w:rsid w:val="00B01F20"/>
    <w:rsid w:val="00B245A1"/>
    <w:rsid w:val="00B27D48"/>
    <w:rsid w:val="00B77A4E"/>
    <w:rsid w:val="00BE289C"/>
    <w:rsid w:val="00C02CE7"/>
    <w:rsid w:val="00C0386E"/>
    <w:rsid w:val="00C22579"/>
    <w:rsid w:val="00C41141"/>
    <w:rsid w:val="00C6155A"/>
    <w:rsid w:val="00C771EC"/>
    <w:rsid w:val="00CD1E44"/>
    <w:rsid w:val="00D40765"/>
    <w:rsid w:val="00D4283E"/>
    <w:rsid w:val="00D43133"/>
    <w:rsid w:val="00D75445"/>
    <w:rsid w:val="00DA03DE"/>
    <w:rsid w:val="00DA356F"/>
    <w:rsid w:val="00E03942"/>
    <w:rsid w:val="00E431DC"/>
    <w:rsid w:val="00E70FF7"/>
    <w:rsid w:val="00E8367A"/>
    <w:rsid w:val="00E91F01"/>
    <w:rsid w:val="00EA1F3A"/>
    <w:rsid w:val="00F44841"/>
    <w:rsid w:val="00F65E41"/>
    <w:rsid w:val="00F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02C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CE7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2C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CE7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2021-01-25T03:48:00Z</dcterms:created>
  <dcterms:modified xsi:type="dcterms:W3CDTF">2021-08-04T05:56:00Z</dcterms:modified>
</cp:coreProperties>
</file>