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F042" w14:textId="77777777" w:rsidR="00FC6C06" w:rsidRPr="00E9155E" w:rsidRDefault="009D02A4" w:rsidP="00E9155E">
      <w:pPr>
        <w:pStyle w:val="Heading1"/>
        <w:rPr>
          <w:rFonts w:ascii="Times New Roman" w:hAnsi="Times New Roman" w:cs="Times New Roman"/>
        </w:rPr>
      </w:pPr>
      <w:r w:rsidRPr="00E9155E">
        <w:rPr>
          <w:rFonts w:ascii="Times New Roman" w:hAnsi="Times New Roman" w:cs="Times New Roman"/>
        </w:rPr>
        <w:t>Guvernanța corporativă</w:t>
      </w:r>
    </w:p>
    <w:p w14:paraId="7B5A04E4" w14:textId="77777777" w:rsidR="00FC6C06" w:rsidRPr="00E9155E" w:rsidRDefault="00FC6C06" w:rsidP="00E9155E">
      <w:pPr>
        <w:jc w:val="both"/>
        <w:rPr>
          <w:rFonts w:ascii="Times New Roman" w:hAnsi="Times New Roman" w:cs="Times New Roman"/>
        </w:rPr>
      </w:pPr>
    </w:p>
    <w:p w14:paraId="477A94C4"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Conform Principiilor OECD ale administrării corporative</w:t>
      </w:r>
      <w:r w:rsidRPr="00E9155E">
        <w:rPr>
          <w:rFonts w:ascii="Times New Roman" w:hAnsi="Times New Roman" w:cs="Times New Roman"/>
          <w:vertAlign w:val="superscript"/>
        </w:rPr>
        <w:footnoteReference w:id="1"/>
      </w:r>
      <w:r w:rsidRPr="00E9155E">
        <w:rPr>
          <w:rFonts w:ascii="Times New Roman" w:hAnsi="Times New Roman" w:cs="Times New Roman"/>
        </w:rPr>
        <w:t xml:space="preserve"> guvernanța corporativă este definită ca</w:t>
      </w:r>
    </w:p>
    <w:p w14:paraId="44A9F972" w14:textId="77777777" w:rsidR="00FC6C06" w:rsidRPr="00E9155E" w:rsidRDefault="009D02A4" w:rsidP="00E9155E">
      <w:pPr>
        <w:ind w:left="720"/>
        <w:jc w:val="both"/>
        <w:rPr>
          <w:rFonts w:ascii="Times New Roman" w:hAnsi="Times New Roman" w:cs="Times New Roman"/>
        </w:rPr>
      </w:pPr>
      <w:r w:rsidRPr="00E9155E">
        <w:rPr>
          <w:rFonts w:ascii="Times New Roman" w:hAnsi="Times New Roman" w:cs="Times New Roman"/>
        </w:rPr>
        <w:t>“Un set de relații între conducerea unei companii, consiliul acesteia, acționarii și alte părți interesate. Guvernanța corporativă oferă, de asemenea, structura prin care sunt stabilite obiectivele companiei, determinate metodele prin care se ating aceste obiective și este monitorizată performanța.”</w:t>
      </w:r>
    </w:p>
    <w:p w14:paraId="47D366E0"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Având o structură de guvernanță corporativă adecvată poți să-ți atingi obiectivele afacerii, să monitorizezi performanța și să sprijini o creștere durabilă/pe termen lung. Un sistem de management adecvat întărește integritatea afacerii tale prin crearea de limite care separă în mod clar rolurile proprietarilor și ale organelor corporative. Acest lucru ajută la asigurarea transparenței cu părțile interesate prin prezentarea informațiilor prin audit intern și extern și promovează responsabilitatea în procesele interne de luare a deciziilor.</w:t>
      </w:r>
    </w:p>
    <w:p w14:paraId="141E7EC3"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O bună guvernanță corporativă are ca rezultat creșterea eficienței și credibilității afacerii tale și a accesului la surse de finanțare mai variate și avantajoase. Structura ta de guvernanță corporativă ar trebui să ia în considerare cel puțin următoarele cinci elemente cheie:</w:t>
      </w:r>
    </w:p>
    <w:p w14:paraId="70F1BB14" w14:textId="77777777" w:rsidR="00FC6C06" w:rsidRPr="00E9155E" w:rsidRDefault="007A49A0" w:rsidP="00E9155E">
      <w:pPr>
        <w:jc w:val="both"/>
        <w:rPr>
          <w:rFonts w:ascii="Times New Roman" w:hAnsi="Times New Roman" w:cs="Times New Roman"/>
        </w:rPr>
      </w:pPr>
      <w:sdt>
        <w:sdtPr>
          <w:rPr>
            <w:rFonts w:ascii="Times New Roman" w:hAnsi="Times New Roman" w:cs="Times New Roman"/>
          </w:rPr>
          <w:tag w:val="goog_rdk_0"/>
          <w:id w:val="1133825556"/>
        </w:sdtPr>
        <w:sdtEndPr/>
        <w:sdtContent/>
      </w:sdt>
      <w:r w:rsidR="009D02A4" w:rsidRPr="00E9155E">
        <w:rPr>
          <w:rFonts w:ascii="Times New Roman" w:hAnsi="Times New Roman" w:cs="Times New Roman"/>
          <w:noProof/>
        </w:rPr>
        <mc:AlternateContent>
          <mc:Choice Requires="wpg">
            <w:drawing>
              <wp:inline distT="0" distB="0" distL="0" distR="0" wp14:anchorId="776C2E4A" wp14:editId="0C38CB4A">
                <wp:extent cx="5486400" cy="3200400"/>
                <wp:effectExtent l="0" t="0" r="0" b="19050"/>
                <wp:docPr id="5" name="Group 5"/>
                <wp:cNvGraphicFramePr/>
                <a:graphic xmlns:a="http://schemas.openxmlformats.org/drawingml/2006/main">
                  <a:graphicData uri="http://schemas.microsoft.com/office/word/2010/wordprocessingGroup">
                    <wpg:wgp>
                      <wpg:cNvGrpSpPr/>
                      <wpg:grpSpPr>
                        <a:xfrm>
                          <a:off x="0" y="0"/>
                          <a:ext cx="5486400" cy="3200400"/>
                          <a:chOff x="2602800" y="2179800"/>
                          <a:chExt cx="5486400" cy="3200400"/>
                        </a:xfrm>
                      </wpg:grpSpPr>
                      <wpg:grpSp>
                        <wpg:cNvPr id="1" name="Group 1"/>
                        <wpg:cNvGrpSpPr/>
                        <wpg:grpSpPr>
                          <a:xfrm>
                            <a:off x="2602800" y="2179800"/>
                            <a:ext cx="5486400" cy="3200400"/>
                            <a:chOff x="0" y="-7056"/>
                            <a:chExt cx="5486400" cy="3214512"/>
                          </a:xfrm>
                        </wpg:grpSpPr>
                        <wps:wsp>
                          <wps:cNvPr id="2" name="Rectangle 2"/>
                          <wps:cNvSpPr/>
                          <wps:spPr>
                            <a:xfrm>
                              <a:off x="0" y="-7056"/>
                              <a:ext cx="5486400" cy="3214500"/>
                            </a:xfrm>
                            <a:prstGeom prst="rect">
                              <a:avLst/>
                            </a:prstGeom>
                            <a:noFill/>
                            <a:ln>
                              <a:noFill/>
                            </a:ln>
                          </wps:spPr>
                          <wps:txbx>
                            <w:txbxContent>
                              <w:p w14:paraId="2FC2B1D2"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0" y="-7056"/>
                              <a:ext cx="5486400" cy="3214512"/>
                              <a:chOff x="0" y="-7056"/>
                              <a:chExt cx="5486400" cy="3214512"/>
                            </a:xfrm>
                          </wpg:grpSpPr>
                          <wps:wsp>
                            <wps:cNvPr id="4" name="Rectangle 4"/>
                            <wps:cNvSpPr/>
                            <wps:spPr>
                              <a:xfrm>
                                <a:off x="0" y="0"/>
                                <a:ext cx="5486400" cy="3200400"/>
                              </a:xfrm>
                              <a:prstGeom prst="rect">
                                <a:avLst/>
                              </a:prstGeom>
                              <a:noFill/>
                              <a:ln>
                                <a:noFill/>
                              </a:ln>
                            </wps:spPr>
                            <wps:txbx>
                              <w:txbxContent>
                                <w:p w14:paraId="55D3D559"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6" name="Block Arc 6"/>
                            <wps:cNvSpPr/>
                            <wps:spPr>
                              <a:xfrm>
                                <a:off x="1419695" y="386593"/>
                                <a:ext cx="2634257" cy="2634257"/>
                              </a:xfrm>
                              <a:prstGeom prst="blockArc">
                                <a:avLst>
                                  <a:gd name="adj1" fmla="val 11880000"/>
                                  <a:gd name="adj2" fmla="val 16200000"/>
                                  <a:gd name="adj3" fmla="val 4644"/>
                                </a:avLst>
                              </a:prstGeom>
                              <a:solidFill>
                                <a:schemeClr val="accent6"/>
                              </a:solidFill>
                              <a:ln>
                                <a:noFill/>
                              </a:ln>
                            </wps:spPr>
                            <wps:txbx>
                              <w:txbxContent>
                                <w:p w14:paraId="07F4060D"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7" name="Block Arc 7"/>
                            <wps:cNvSpPr/>
                            <wps:spPr>
                              <a:xfrm>
                                <a:off x="1419695" y="386593"/>
                                <a:ext cx="2634257" cy="2634257"/>
                              </a:xfrm>
                              <a:prstGeom prst="blockArc">
                                <a:avLst>
                                  <a:gd name="adj1" fmla="val 7560000"/>
                                  <a:gd name="adj2" fmla="val 11880000"/>
                                  <a:gd name="adj3" fmla="val 4644"/>
                                </a:avLst>
                              </a:prstGeom>
                              <a:solidFill>
                                <a:srgbClr val="4372C3"/>
                              </a:solidFill>
                              <a:ln>
                                <a:noFill/>
                              </a:ln>
                            </wps:spPr>
                            <wps:txbx>
                              <w:txbxContent>
                                <w:p w14:paraId="7BC12954"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8" name="Block Arc 8"/>
                            <wps:cNvSpPr/>
                            <wps:spPr>
                              <a:xfrm>
                                <a:off x="1419695" y="386593"/>
                                <a:ext cx="2634257" cy="2634257"/>
                              </a:xfrm>
                              <a:prstGeom prst="blockArc">
                                <a:avLst>
                                  <a:gd name="adj1" fmla="val 3240000"/>
                                  <a:gd name="adj2" fmla="val 7560000"/>
                                  <a:gd name="adj3" fmla="val 4644"/>
                                </a:avLst>
                              </a:prstGeom>
                              <a:solidFill>
                                <a:schemeClr val="accent4"/>
                              </a:solidFill>
                              <a:ln>
                                <a:noFill/>
                              </a:ln>
                            </wps:spPr>
                            <wps:txbx>
                              <w:txbxContent>
                                <w:p w14:paraId="1A1990E0"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9" name="Block Arc 9"/>
                            <wps:cNvSpPr/>
                            <wps:spPr>
                              <a:xfrm>
                                <a:off x="1419695" y="386593"/>
                                <a:ext cx="2634257" cy="2634257"/>
                              </a:xfrm>
                              <a:prstGeom prst="blockArc">
                                <a:avLst>
                                  <a:gd name="adj1" fmla="val 20520000"/>
                                  <a:gd name="adj2" fmla="val 3240000"/>
                                  <a:gd name="adj3" fmla="val 4644"/>
                                </a:avLst>
                              </a:prstGeom>
                              <a:solidFill>
                                <a:schemeClr val="accent3"/>
                              </a:solidFill>
                              <a:ln>
                                <a:noFill/>
                              </a:ln>
                            </wps:spPr>
                            <wps:txbx>
                              <w:txbxContent>
                                <w:p w14:paraId="289B482B"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10" name="Block Arc 10"/>
                            <wps:cNvSpPr/>
                            <wps:spPr>
                              <a:xfrm>
                                <a:off x="1419695" y="386593"/>
                                <a:ext cx="2634257" cy="2634257"/>
                              </a:xfrm>
                              <a:prstGeom prst="blockArc">
                                <a:avLst>
                                  <a:gd name="adj1" fmla="val 16200000"/>
                                  <a:gd name="adj2" fmla="val 20520000"/>
                                  <a:gd name="adj3" fmla="val 4644"/>
                                </a:avLst>
                              </a:prstGeom>
                              <a:solidFill>
                                <a:schemeClr val="accent2"/>
                              </a:solidFill>
                              <a:ln>
                                <a:noFill/>
                              </a:ln>
                            </wps:spPr>
                            <wps:txbx>
                              <w:txbxContent>
                                <w:p w14:paraId="094B4A97"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11" name="Oval 11"/>
                            <wps:cNvSpPr/>
                            <wps:spPr>
                              <a:xfrm>
                                <a:off x="2130052" y="1096950"/>
                                <a:ext cx="1213544" cy="1213544"/>
                              </a:xfrm>
                              <a:prstGeom prst="ellipse">
                                <a:avLst/>
                              </a:prstGeom>
                              <a:solidFill>
                                <a:srgbClr val="599BD5"/>
                              </a:solidFill>
                              <a:ln w="12700" cap="flat" cmpd="sng">
                                <a:solidFill>
                                  <a:schemeClr val="lt1"/>
                                </a:solidFill>
                                <a:prstDash val="solid"/>
                                <a:miter lim="800000"/>
                                <a:headEnd type="none" w="sm" len="sm"/>
                                <a:tailEnd type="none" w="sm" len="sm"/>
                              </a:ln>
                            </wps:spPr>
                            <wps:txbx>
                              <w:txbxContent>
                                <w:p w14:paraId="4DB8C5F4"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2307771" y="1274669"/>
                                <a:ext cx="858106" cy="858106"/>
                              </a:xfrm>
                              <a:prstGeom prst="rect">
                                <a:avLst/>
                              </a:prstGeom>
                              <a:noFill/>
                              <a:ln>
                                <a:noFill/>
                              </a:ln>
                            </wps:spPr>
                            <wps:txbx>
                              <w:txbxContent>
                                <w:p w14:paraId="3F40AD9A" w14:textId="77777777" w:rsidR="00FC6C06" w:rsidRPr="00E9155E" w:rsidRDefault="009D02A4">
                                  <w:pPr>
                                    <w:spacing w:after="0" w:line="215" w:lineRule="auto"/>
                                    <w:jc w:val="center"/>
                                    <w:textDirection w:val="btLr"/>
                                    <w:rPr>
                                      <w:b/>
                                      <w:bCs/>
                                    </w:rPr>
                                  </w:pPr>
                                  <w:r w:rsidRPr="00E9155E">
                                    <w:rPr>
                                      <w:b/>
                                      <w:bCs/>
                                      <w:color w:val="000000"/>
                                      <w:sz w:val="18"/>
                                    </w:rPr>
                                    <w:t>Elementele managementului corporativ</w:t>
                                  </w:r>
                                </w:p>
                              </w:txbxContent>
                            </wps:txbx>
                            <wps:bodyPr spcFirstLastPara="1" wrap="square" lIns="11425" tIns="11425" rIns="11425" bIns="11425" anchor="ctr" anchorCtr="0">
                              <a:noAutofit/>
                            </wps:bodyPr>
                          </wps:wsp>
                          <wps:wsp>
                            <wps:cNvPr id="13" name="Oval 13"/>
                            <wps:cNvSpPr/>
                            <wps:spPr>
                              <a:xfrm>
                                <a:off x="2284153" y="-7056"/>
                                <a:ext cx="905343" cy="848461"/>
                              </a:xfrm>
                              <a:prstGeom prst="ellipse">
                                <a:avLst/>
                              </a:prstGeom>
                              <a:solidFill>
                                <a:schemeClr val="accent2"/>
                              </a:solidFill>
                              <a:ln w="12700" cap="flat" cmpd="sng">
                                <a:solidFill>
                                  <a:schemeClr val="lt1"/>
                                </a:solidFill>
                                <a:prstDash val="solid"/>
                                <a:miter lim="800000"/>
                                <a:headEnd type="none" w="sm" len="sm"/>
                                <a:tailEnd type="none" w="sm" len="sm"/>
                              </a:ln>
                            </wps:spPr>
                            <wps:txbx>
                              <w:txbxContent>
                                <w:p w14:paraId="489F01ED"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14" name="Rectangle 14"/>
                            <wps:cNvSpPr/>
                            <wps:spPr>
                              <a:xfrm>
                                <a:off x="2416737" y="117198"/>
                                <a:ext cx="688413" cy="660240"/>
                              </a:xfrm>
                              <a:prstGeom prst="rect">
                                <a:avLst/>
                              </a:prstGeom>
                              <a:noFill/>
                              <a:ln>
                                <a:noFill/>
                              </a:ln>
                            </wps:spPr>
                            <wps:txbx>
                              <w:txbxContent>
                                <w:p w14:paraId="4F455075" w14:textId="77777777" w:rsidR="00FC6C06" w:rsidRDefault="009D02A4">
                                  <w:pPr>
                                    <w:spacing w:after="0" w:line="215" w:lineRule="auto"/>
                                    <w:jc w:val="center"/>
                                    <w:textDirection w:val="btLr"/>
                                  </w:pPr>
                                  <w:r>
                                    <w:rPr>
                                      <w:b/>
                                      <w:color w:val="000000"/>
                                      <w:sz w:val="16"/>
                                    </w:rPr>
                                    <w:t>Angajament față de managementul corporativ</w:t>
                                  </w:r>
                                </w:p>
                              </w:txbxContent>
                            </wps:txbx>
                            <wps:bodyPr spcFirstLastPara="1" wrap="square" lIns="10150" tIns="10150" rIns="10150" bIns="10150" anchor="ctr" anchorCtr="0">
                              <a:noAutofit/>
                            </wps:bodyPr>
                          </wps:wsp>
                          <wps:wsp>
                            <wps:cNvPr id="15" name="Oval 15"/>
                            <wps:cNvSpPr/>
                            <wps:spPr>
                              <a:xfrm>
                                <a:off x="3522912" y="884963"/>
                                <a:ext cx="874982" cy="842388"/>
                              </a:xfrm>
                              <a:prstGeom prst="ellipse">
                                <a:avLst/>
                              </a:prstGeom>
                              <a:solidFill>
                                <a:schemeClr val="accent3"/>
                              </a:solidFill>
                              <a:ln w="12700" cap="flat" cmpd="sng">
                                <a:solidFill>
                                  <a:schemeClr val="lt1"/>
                                </a:solidFill>
                                <a:prstDash val="solid"/>
                                <a:miter lim="800000"/>
                                <a:headEnd type="none" w="sm" len="sm"/>
                                <a:tailEnd type="none" w="sm" len="sm"/>
                              </a:ln>
                            </wps:spPr>
                            <wps:txbx>
                              <w:txbxContent>
                                <w:p w14:paraId="10C1106E"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3600450" y="1008328"/>
                                <a:ext cx="669306" cy="595658"/>
                              </a:xfrm>
                              <a:prstGeom prst="rect">
                                <a:avLst/>
                              </a:prstGeom>
                              <a:noFill/>
                              <a:ln>
                                <a:noFill/>
                              </a:ln>
                            </wps:spPr>
                            <wps:txbx>
                              <w:txbxContent>
                                <w:p w14:paraId="69E09FD0" w14:textId="77777777" w:rsidR="00FC6C06" w:rsidRDefault="009D02A4">
                                  <w:pPr>
                                    <w:spacing w:after="0" w:line="215" w:lineRule="auto"/>
                                    <w:jc w:val="center"/>
                                    <w:textDirection w:val="btLr"/>
                                  </w:pPr>
                                  <w:r>
                                    <w:rPr>
                                      <w:b/>
                                      <w:color w:val="000000"/>
                                      <w:sz w:val="16"/>
                                    </w:rPr>
                                    <w:t>Luarea deciziilor și supravegherea</w:t>
                                  </w:r>
                                </w:p>
                              </w:txbxContent>
                            </wps:txbx>
                            <wps:bodyPr spcFirstLastPara="1" wrap="square" lIns="10150" tIns="10150" rIns="10150" bIns="10150" anchor="ctr" anchorCtr="0">
                              <a:noAutofit/>
                            </wps:bodyPr>
                          </wps:wsp>
                          <wps:wsp>
                            <wps:cNvPr id="17" name="Oval 17"/>
                            <wps:cNvSpPr/>
                            <wps:spPr>
                              <a:xfrm>
                                <a:off x="3023942" y="2281666"/>
                                <a:ext cx="938192" cy="925790"/>
                              </a:xfrm>
                              <a:prstGeom prst="ellipse">
                                <a:avLst/>
                              </a:prstGeom>
                              <a:solidFill>
                                <a:schemeClr val="accent4"/>
                              </a:solidFill>
                              <a:ln w="12700" cap="flat" cmpd="sng">
                                <a:solidFill>
                                  <a:schemeClr val="lt1"/>
                                </a:solidFill>
                                <a:prstDash val="solid"/>
                                <a:miter lim="800000"/>
                                <a:headEnd type="none" w="sm" len="sm"/>
                                <a:tailEnd type="none" w="sm" len="sm"/>
                              </a:ln>
                            </wps:spPr>
                            <wps:txbx>
                              <w:txbxContent>
                                <w:p w14:paraId="2082C4F0"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18" name="Rectangle 18"/>
                            <wps:cNvSpPr/>
                            <wps:spPr>
                              <a:xfrm>
                                <a:off x="3161337" y="2417245"/>
                                <a:ext cx="663402" cy="654632"/>
                              </a:xfrm>
                              <a:prstGeom prst="rect">
                                <a:avLst/>
                              </a:prstGeom>
                              <a:noFill/>
                              <a:ln>
                                <a:noFill/>
                              </a:ln>
                            </wps:spPr>
                            <wps:txbx>
                              <w:txbxContent>
                                <w:p w14:paraId="049AB879" w14:textId="77777777" w:rsidR="00FC6C06" w:rsidRDefault="009D02A4">
                                  <w:pPr>
                                    <w:spacing w:after="0" w:line="215" w:lineRule="auto"/>
                                    <w:jc w:val="center"/>
                                    <w:textDirection w:val="btLr"/>
                                  </w:pPr>
                                  <w:r>
                                    <w:rPr>
                                      <w:b/>
                                      <w:color w:val="000000"/>
                                      <w:sz w:val="16"/>
                                    </w:rPr>
                                    <w:t>Controlează mediul și procesele</w:t>
                                  </w:r>
                                </w:p>
                              </w:txbxContent>
                            </wps:txbx>
                            <wps:bodyPr spcFirstLastPara="1" wrap="square" lIns="10150" tIns="10150" rIns="10150" bIns="10150" anchor="ctr" anchorCtr="0">
                              <a:noAutofit/>
                            </wps:bodyPr>
                          </wps:wsp>
                          <wps:wsp>
                            <wps:cNvPr id="19" name="Oval 19"/>
                            <wps:cNvSpPr/>
                            <wps:spPr>
                              <a:xfrm>
                                <a:off x="1533286" y="2287013"/>
                                <a:ext cx="894648" cy="915095"/>
                              </a:xfrm>
                              <a:prstGeom prst="ellipse">
                                <a:avLst/>
                              </a:prstGeom>
                              <a:solidFill>
                                <a:srgbClr val="4372C3"/>
                              </a:solidFill>
                              <a:ln w="12700" cap="flat" cmpd="sng">
                                <a:solidFill>
                                  <a:schemeClr val="lt1"/>
                                </a:solidFill>
                                <a:prstDash val="solid"/>
                                <a:miter lim="800000"/>
                                <a:headEnd type="none" w="sm" len="sm"/>
                                <a:tailEnd type="none" w="sm" len="sm"/>
                              </a:ln>
                            </wps:spPr>
                            <wps:txbx>
                              <w:txbxContent>
                                <w:p w14:paraId="29B9DC0E"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20" name="Rectangle 20"/>
                            <wps:cNvSpPr/>
                            <wps:spPr>
                              <a:xfrm>
                                <a:off x="1664304" y="2421026"/>
                                <a:ext cx="632612" cy="647069"/>
                              </a:xfrm>
                              <a:prstGeom prst="rect">
                                <a:avLst/>
                              </a:prstGeom>
                              <a:noFill/>
                              <a:ln>
                                <a:noFill/>
                              </a:ln>
                            </wps:spPr>
                            <wps:txbx>
                              <w:txbxContent>
                                <w:p w14:paraId="45686155" w14:textId="77777777" w:rsidR="00FC6C06" w:rsidRDefault="009D02A4">
                                  <w:pPr>
                                    <w:spacing w:after="0" w:line="215" w:lineRule="auto"/>
                                    <w:jc w:val="center"/>
                                    <w:textDirection w:val="btLr"/>
                                  </w:pPr>
                                  <w:r>
                                    <w:rPr>
                                      <w:b/>
                                      <w:color w:val="000000"/>
                                      <w:sz w:val="16"/>
                                    </w:rPr>
                                    <w:t>Transparență și dezvăluire</w:t>
                                  </w:r>
                                </w:p>
                              </w:txbxContent>
                            </wps:txbx>
                            <wps:bodyPr spcFirstLastPara="1" wrap="square" lIns="10150" tIns="10150" rIns="10150" bIns="10150" anchor="ctr" anchorCtr="0">
                              <a:noAutofit/>
                            </wps:bodyPr>
                          </wps:wsp>
                          <wps:wsp>
                            <wps:cNvPr id="21" name="Oval 21"/>
                            <wps:cNvSpPr/>
                            <wps:spPr>
                              <a:xfrm>
                                <a:off x="1088504" y="881416"/>
                                <a:ext cx="849481" cy="849481"/>
                              </a:xfrm>
                              <a:prstGeom prst="ellipse">
                                <a:avLst/>
                              </a:prstGeom>
                              <a:solidFill>
                                <a:schemeClr val="accent6"/>
                              </a:solidFill>
                              <a:ln w="12700" cap="flat" cmpd="sng">
                                <a:solidFill>
                                  <a:schemeClr val="lt1"/>
                                </a:solidFill>
                                <a:prstDash val="solid"/>
                                <a:miter lim="800000"/>
                                <a:headEnd type="none" w="sm" len="sm"/>
                                <a:tailEnd type="none" w="sm" len="sm"/>
                              </a:ln>
                            </wps:spPr>
                            <wps:txbx>
                              <w:txbxContent>
                                <w:p w14:paraId="2B074583" w14:textId="77777777" w:rsidR="00FC6C06" w:rsidRDefault="00FC6C06">
                                  <w:pPr>
                                    <w:spacing w:after="0" w:line="240" w:lineRule="auto"/>
                                    <w:textDirection w:val="btLr"/>
                                  </w:pPr>
                                </w:p>
                              </w:txbxContent>
                            </wps:txbx>
                            <wps:bodyPr spcFirstLastPara="1" wrap="square" lIns="91425" tIns="91425" rIns="91425" bIns="91425" anchor="ctr" anchorCtr="0">
                              <a:noAutofit/>
                            </wps:bodyPr>
                          </wps:wsp>
                          <wps:wsp>
                            <wps:cNvPr id="22" name="Rectangle 22"/>
                            <wps:cNvSpPr/>
                            <wps:spPr>
                              <a:xfrm>
                                <a:off x="1212908" y="1005820"/>
                                <a:ext cx="600673" cy="600673"/>
                              </a:xfrm>
                              <a:prstGeom prst="rect">
                                <a:avLst/>
                              </a:prstGeom>
                              <a:noFill/>
                              <a:ln>
                                <a:noFill/>
                              </a:ln>
                            </wps:spPr>
                            <wps:txbx>
                              <w:txbxContent>
                                <w:p w14:paraId="67682570" w14:textId="77777777" w:rsidR="00FC6C06" w:rsidRPr="00E9155E" w:rsidRDefault="009D02A4">
                                  <w:pPr>
                                    <w:spacing w:after="0" w:line="215" w:lineRule="auto"/>
                                    <w:jc w:val="center"/>
                                    <w:textDirection w:val="btLr"/>
                                    <w:rPr>
                                      <w:b/>
                                      <w:bCs/>
                                    </w:rPr>
                                  </w:pPr>
                                  <w:r w:rsidRPr="00E9155E">
                                    <w:rPr>
                                      <w:b/>
                                      <w:bCs/>
                                      <w:color w:val="000000"/>
                                      <w:sz w:val="18"/>
                                    </w:rPr>
                                    <w:t>Proprietate</w:t>
                                  </w:r>
                                </w:p>
                              </w:txbxContent>
                            </wps:txbx>
                            <wps:bodyPr spcFirstLastPara="1" wrap="square" lIns="11425" tIns="11425" rIns="11425" bIns="11425" anchor="ctr" anchorCtr="0">
                              <a:noAutofit/>
                            </wps:bodyPr>
                          </wps:wsp>
                        </wpg:grpSp>
                      </wpg:grpSp>
                    </wpg:wgp>
                  </a:graphicData>
                </a:graphic>
              </wp:inline>
            </w:drawing>
          </mc:Choice>
          <mc:Fallback>
            <w:pict>
              <v:group w14:anchorId="776C2E4A" id="Group 5" o:spid="_x0000_s1026" style="width:6in;height:252pt;mso-position-horizontal-relative:char;mso-position-vertical-relative:line" coordorigin="26028,21798"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">
                <v:group id="Group 1" o:spid="_x0000_s1027" style="position:absolute;left:26028;top:21798;width:54864;height:32004" coordorigin=",-70" coordsize="54864,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top:-70;width:54864;height:32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FC2B1D2" w14:textId="77777777" w:rsidR="00FC6C06" w:rsidRDefault="00FC6C06">
                          <w:pPr>
                            <w:spacing w:after="0" w:line="240" w:lineRule="auto"/>
                            <w:textDirection w:val="btLr"/>
                          </w:pPr>
                        </w:p>
                      </w:txbxContent>
                    </v:textbox>
                  </v:rect>
                  <v:group id="Group 3" o:spid="_x0000_s1029" style="position:absolute;top:-70;width:54864;height:32144" coordorigin=",-70" coordsize="54864,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5D3D559" w14:textId="77777777" w:rsidR="00FC6C06" w:rsidRDefault="00FC6C06">
                            <w:pPr>
                              <w:spacing w:after="0" w:line="240" w:lineRule="auto"/>
                              <w:textDirection w:val="btLr"/>
                            </w:pPr>
                          </w:p>
                        </w:txbxContent>
                      </v:textbox>
                    </v:rect>
                    <v:shape id="Block Arc 6" o:spid="_x0000_s1031" style="position:absolute;left:14196;top:3865;width:26343;height:26343;visibility:visible;mso-wrap-style:square;v-text-anchor:middle" coordsize="2634257,26342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" adj="-11796480,,5400" path="m64465,910113c240795,367426,746514,-1,1317129,-1v,40779,-1,81557,-1,122336c799512,122335,340764,455635,180811,947917l64465,910113xe" fillcolor="#70ad47 [3209]" stroked="f">
                      <v:stroke joinstyle="miter"/>
                      <v:formulas/>
                      <v:path arrowok="t" o:connecttype="custom" o:connectlocs="64465,910113;1317129,-1;1317128,122335;180811,947917;64465,910113" o:connectangles="0,0,0,0,0" textboxrect="0,0,2634257,2634257"/>
                      <v:textbox inset="2.53958mm,2.53958mm,2.53958mm,2.53958mm">
                        <w:txbxContent>
                          <w:p w14:paraId="07F4060D" w14:textId="77777777" w:rsidR="00FC6C06" w:rsidRDefault="00FC6C06">
                            <w:pPr>
                              <w:spacing w:after="0" w:line="240" w:lineRule="auto"/>
                              <w:textDirection w:val="btLr"/>
                            </w:pPr>
                          </w:p>
                        </w:txbxContent>
                      </v:textbox>
                    </v:shape>
                    <v:shape id="Block Arc 7" o:spid="_x0000_s1032" style="position:absolute;left:14196;top:3865;width:26343;height:26343;visibility:visible;mso-wrap-style:square;v-text-anchor:middle" coordsize="2634257,26342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" adj="-11796480,,5400" path="m542940,2382708c81303,2047309,-111865,1452800,64465,910113r116347,37804c20860,1440199,196086,1979490,614846,2283737r-71906,98971xe" fillcolor="#4372c3" stroked="f">
                      <v:stroke joinstyle="miter"/>
                      <v:formulas/>
                      <v:path arrowok="t" o:connecttype="custom" o:connectlocs="542940,2382708;64465,910113;180812,947917;614846,2283737;542940,2382708" o:connectangles="0,0,0,0,0" textboxrect="0,0,2634257,2634257"/>
                      <v:textbox inset="2.53958mm,2.53958mm,2.53958mm,2.53958mm">
                        <w:txbxContent>
                          <w:p w14:paraId="7BC12954" w14:textId="77777777" w:rsidR="00FC6C06" w:rsidRDefault="00FC6C06">
                            <w:pPr>
                              <w:spacing w:after="0" w:line="240" w:lineRule="auto"/>
                              <w:textDirection w:val="btLr"/>
                            </w:pPr>
                          </w:p>
                        </w:txbxContent>
                      </v:textbox>
                    </v:shape>
                    <v:shape id="Block Arc 8" o:spid="_x0000_s1033" style="position:absolute;left:14196;top:3865;width:26343;height:26343;visibility:visible;mso-wrap-style:square;v-text-anchor:middle" coordsize="2634257,26342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" adj="-11796480,,5400" path="m2091317,2382708c@1@1@1@1,542939,2382708r71907,-98971c@1@1@1@1,2019411,2283737r71906,98971xe" fillcolor="#ffc000 [3207]" stroked="f">
                      <v:stroke joinstyle="miter"/>
                      <v:formulas/>
                      <v:path arrowok="t" o:connecttype="custom" o:connectlocs="2091317,2382708;542939,2382708;614846,2283737;2019411,2283737;2091317,2382708" o:connectangles="0,0,0,0,0" textboxrect="0,0,2634257,2634257"/>
                      <v:textbox inset="2.53958mm,2.53958mm,2.53958mm,2.53958mm">
                        <w:txbxContent>
                          <w:p w14:paraId="1A1990E0" w14:textId="77777777" w:rsidR="00FC6C06" w:rsidRDefault="00FC6C06">
                            <w:pPr>
                              <w:spacing w:after="0" w:line="240" w:lineRule="auto"/>
                              <w:textDirection w:val="btLr"/>
                            </w:pPr>
                          </w:p>
                        </w:txbxContent>
                      </v:textbox>
                    </v:shape>
                    <v:shape id="Block Arc 9" o:spid="_x0000_s1034" style="position:absolute;left:14196;top:3865;width:26343;height:26343;visibility:visible;mso-wrap-style:square;v-text-anchor:middle" coordsize="2634257,26342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" adj="-11796480,,5400" path="m2569792,910113v176330,542687,-16838,1137196,-478475,1472595l2019411,2283737v418760,-304247,593987,-843538,434034,-1335820l2569792,910113xe" fillcolor="#a5a5a5 [3206]" stroked="f">
                      <v:stroke joinstyle="miter"/>
                      <v:formulas/>
                      <v:path arrowok="t" o:connecttype="custom" o:connectlocs="2569792,910113;2091317,2382708;2019411,2283737;2453445,947917;2569792,910113" o:connectangles="0,0,0,0,0" textboxrect="0,0,2634257,2634257"/>
                      <v:textbox inset="2.53958mm,2.53958mm,2.53958mm,2.53958mm">
                        <w:txbxContent>
                          <w:p w14:paraId="289B482B" w14:textId="77777777" w:rsidR="00FC6C06" w:rsidRDefault="00FC6C06">
                            <w:pPr>
                              <w:spacing w:after="0" w:line="240" w:lineRule="auto"/>
                              <w:textDirection w:val="btLr"/>
                            </w:pPr>
                          </w:p>
                        </w:txbxContent>
                      </v:textbox>
                    </v:shape>
                    <v:shape id="Block Arc 10" o:spid="_x0000_s1035" style="position:absolute;left:14196;top:3865;width:26343;height:26343;visibility:visible;mso-wrap-style:square;v-text-anchor:middle" coordsize="2634257,26342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" adj="-11796480,,5400" path="m1317128,v570615,,1076334,367427,1252664,910114l2453445,947917c2293493,455635,1834745,122335,1317128,122335l1317128,xe" fillcolor="#ed7d31 [3205]" stroked="f">
                      <v:stroke joinstyle="miter"/>
                      <v:formulas/>
                      <v:path arrowok="t" o:connecttype="custom" o:connectlocs="1317128,0;2569792,910114;2453445,947917;1317128,122335;1317128,0" o:connectangles="0,0,0,0,0" textboxrect="0,0,2634257,2634257"/>
                      <v:textbox inset="2.53958mm,2.53958mm,2.53958mm,2.53958mm">
                        <w:txbxContent>
                          <w:p w14:paraId="094B4A97" w14:textId="77777777" w:rsidR="00FC6C06" w:rsidRDefault="00FC6C06">
                            <w:pPr>
                              <w:spacing w:after="0" w:line="240" w:lineRule="auto"/>
                              <w:textDirection w:val="btLr"/>
                            </w:pPr>
                          </w:p>
                        </w:txbxContent>
                      </v:textbox>
                    </v:shape>
                    <v:oval id="Oval 11" o:spid="_x0000_s1036" style="position:absolute;left:21300;top:10969;width:12135;height:12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" fillcolor="#599bd5" strokecolor="white [3201]" strokeweight="1pt">
                      <v:stroke startarrowwidth="narrow" startarrowlength="short" endarrowwidth="narrow" endarrowlength="short" joinstyle="miter"/>
                      <v:textbox inset="2.53958mm,2.53958mm,2.53958mm,2.53958mm">
                        <w:txbxContent>
                          <w:p w14:paraId="4DB8C5F4" w14:textId="77777777" w:rsidR="00FC6C06" w:rsidRDefault="00FC6C06">
                            <w:pPr>
                              <w:spacing w:after="0" w:line="240" w:lineRule="auto"/>
                              <w:textDirection w:val="btLr"/>
                            </w:pPr>
                          </w:p>
                        </w:txbxContent>
                      </v:textbox>
                    </v:oval>
                    <v:rect id="Rectangle 12" o:spid="_x0000_s1037" style="position:absolute;left:23077;top:12746;width:8581;height:8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" filled="f" stroked="f">
                      <v:textbox inset=".31736mm,.31736mm,.31736mm,.31736mm">
                        <w:txbxContent>
                          <w:p w14:paraId="3F40AD9A" w14:textId="77777777" w:rsidR="00FC6C06" w:rsidRPr="00E9155E" w:rsidRDefault="009D02A4">
                            <w:pPr>
                              <w:spacing w:after="0" w:line="215" w:lineRule="auto"/>
                              <w:jc w:val="center"/>
                              <w:textDirection w:val="btLr"/>
                              <w:rPr>
                                <w:b/>
                                <w:bCs/>
                              </w:rPr>
                            </w:pPr>
                            <w:r w:rsidRPr="00E9155E">
                              <w:rPr>
                                <w:b/>
                                <w:bCs/>
                                <w:color w:val="000000"/>
                                <w:sz w:val="18"/>
                              </w:rPr>
                              <w:t>Elementele managementului corporativ</w:t>
                            </w:r>
                          </w:p>
                        </w:txbxContent>
                      </v:textbox>
                    </v:rect>
                    <v:oval id="Oval 13" o:spid="_x0000_s1038" style="position:absolute;left:22841;top:-70;width:9053;height:8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" fillcolor="#ed7d31 [3205]" strokecolor="white [3201]" strokeweight="1pt">
                      <v:stroke startarrowwidth="narrow" startarrowlength="short" endarrowwidth="narrow" endarrowlength="short" joinstyle="miter"/>
                      <v:textbox inset="2.53958mm,2.53958mm,2.53958mm,2.53958mm">
                        <w:txbxContent>
                          <w:p w14:paraId="489F01ED" w14:textId="77777777" w:rsidR="00FC6C06" w:rsidRDefault="00FC6C06">
                            <w:pPr>
                              <w:spacing w:after="0" w:line="240" w:lineRule="auto"/>
                              <w:textDirection w:val="btLr"/>
                            </w:pPr>
                          </w:p>
                        </w:txbxContent>
                      </v:textbox>
                    </v:oval>
                    <v:rect id="Rectangle 14" o:spid="_x0000_s1039" style="position:absolute;left:24167;top:1171;width:6884;height:6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" filled="f" stroked="f">
                      <v:textbox inset=".28194mm,.28194mm,.28194mm,.28194mm">
                        <w:txbxContent>
                          <w:p w14:paraId="4F455075" w14:textId="77777777" w:rsidR="00FC6C06" w:rsidRDefault="009D02A4">
                            <w:pPr>
                              <w:spacing w:after="0" w:line="215" w:lineRule="auto"/>
                              <w:jc w:val="center"/>
                              <w:textDirection w:val="btLr"/>
                            </w:pPr>
                            <w:r>
                              <w:rPr>
                                <w:b/>
                                <w:color w:val="000000"/>
                                <w:sz w:val="16"/>
                              </w:rPr>
                              <w:t>Angajament față de managementul corporativ</w:t>
                            </w:r>
                          </w:p>
                        </w:txbxContent>
                      </v:textbox>
                    </v:rect>
                    <v:oval id="Oval 15" o:spid="_x0000_s1040" style="position:absolute;left:35229;top:8849;width:8749;height:8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" fillcolor="#a5a5a5 [3206]" strokecolor="white [3201]" strokeweight="1pt">
                      <v:stroke startarrowwidth="narrow" startarrowlength="short" endarrowwidth="narrow" endarrowlength="short" joinstyle="miter"/>
                      <v:textbox inset="2.53958mm,2.53958mm,2.53958mm,2.53958mm">
                        <w:txbxContent>
                          <w:p w14:paraId="10C1106E" w14:textId="77777777" w:rsidR="00FC6C06" w:rsidRDefault="00FC6C06">
                            <w:pPr>
                              <w:spacing w:after="0" w:line="240" w:lineRule="auto"/>
                              <w:textDirection w:val="btLr"/>
                            </w:pPr>
                          </w:p>
                        </w:txbxContent>
                      </v:textbox>
                    </v:oval>
                    <v:rect id="Rectangle 16" o:spid="_x0000_s1041" style="position:absolute;left:36004;top:10083;width:6693;height:5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" filled="f" stroked="f">
                      <v:textbox inset=".28194mm,.28194mm,.28194mm,.28194mm">
                        <w:txbxContent>
                          <w:p w14:paraId="69E09FD0" w14:textId="77777777" w:rsidR="00FC6C06" w:rsidRDefault="009D02A4">
                            <w:pPr>
                              <w:spacing w:after="0" w:line="215" w:lineRule="auto"/>
                              <w:jc w:val="center"/>
                              <w:textDirection w:val="btLr"/>
                            </w:pPr>
                            <w:r>
                              <w:rPr>
                                <w:b/>
                                <w:color w:val="000000"/>
                                <w:sz w:val="16"/>
                              </w:rPr>
                              <w:t>Luarea deciziilor și supravegherea</w:t>
                            </w:r>
                          </w:p>
                        </w:txbxContent>
                      </v:textbox>
                    </v:rect>
                    <v:oval id="Oval 17" o:spid="_x0000_s1042" style="position:absolute;left:30239;top:22816;width:9382;height:9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" fillcolor="#ffc000 [3207]" strokecolor="white [3201]" strokeweight="1pt">
                      <v:stroke startarrowwidth="narrow" startarrowlength="short" endarrowwidth="narrow" endarrowlength="short" joinstyle="miter"/>
                      <v:textbox inset="2.53958mm,2.53958mm,2.53958mm,2.53958mm">
                        <w:txbxContent>
                          <w:p w14:paraId="2082C4F0" w14:textId="77777777" w:rsidR="00FC6C06" w:rsidRDefault="00FC6C06">
                            <w:pPr>
                              <w:spacing w:after="0" w:line="240" w:lineRule="auto"/>
                              <w:textDirection w:val="btLr"/>
                            </w:pPr>
                          </w:p>
                        </w:txbxContent>
                      </v:textbox>
                    </v:oval>
                    <v:rect id="Rectangle 18" o:spid="_x0000_s1043" style="position:absolute;left:31613;top:24172;width:6634;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" filled="f" stroked="f">
                      <v:textbox inset=".28194mm,.28194mm,.28194mm,.28194mm">
                        <w:txbxContent>
                          <w:p w14:paraId="049AB879" w14:textId="77777777" w:rsidR="00FC6C06" w:rsidRDefault="009D02A4">
                            <w:pPr>
                              <w:spacing w:after="0" w:line="215" w:lineRule="auto"/>
                              <w:jc w:val="center"/>
                              <w:textDirection w:val="btLr"/>
                            </w:pPr>
                            <w:r>
                              <w:rPr>
                                <w:b/>
                                <w:color w:val="000000"/>
                                <w:sz w:val="16"/>
                              </w:rPr>
                              <w:t>Controlează mediul și procesele</w:t>
                            </w:r>
                          </w:p>
                        </w:txbxContent>
                      </v:textbox>
                    </v:rect>
                    <v:oval id="Oval 19" o:spid="_x0000_s1044" style="position:absolute;left:15332;top:22870;width:8947;height:9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29B9DC0E" w14:textId="77777777" w:rsidR="00FC6C06" w:rsidRDefault="00FC6C06">
                            <w:pPr>
                              <w:spacing w:after="0" w:line="240" w:lineRule="auto"/>
                              <w:textDirection w:val="btLr"/>
                            </w:pPr>
                          </w:p>
                        </w:txbxContent>
                      </v:textbox>
                    </v:oval>
                    <v:rect id="Rectangle 20" o:spid="_x0000_s1045" style="position:absolute;left:16643;top:24210;width:6326;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" filled="f" stroked="f">
                      <v:textbox inset=".28194mm,.28194mm,.28194mm,.28194mm">
                        <w:txbxContent>
                          <w:p w14:paraId="45686155" w14:textId="77777777" w:rsidR="00FC6C06" w:rsidRDefault="009D02A4">
                            <w:pPr>
                              <w:spacing w:after="0" w:line="215" w:lineRule="auto"/>
                              <w:jc w:val="center"/>
                              <w:textDirection w:val="btLr"/>
                            </w:pPr>
                            <w:r>
                              <w:rPr>
                                <w:b/>
                                <w:color w:val="000000"/>
                                <w:sz w:val="16"/>
                              </w:rPr>
                              <w:t>Transparență și dezvăluire</w:t>
                            </w:r>
                          </w:p>
                        </w:txbxContent>
                      </v:textbox>
                    </v:rect>
                    <v:oval id="Oval 21" o:spid="_x0000_s1046" style="position:absolute;left:10885;top:8814;width:8494;height:8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" fillcolor="#70ad47 [3209]" strokecolor="white [3201]" strokeweight="1pt">
                      <v:stroke startarrowwidth="narrow" startarrowlength="short" endarrowwidth="narrow" endarrowlength="short" joinstyle="miter"/>
                      <v:textbox inset="2.53958mm,2.53958mm,2.53958mm,2.53958mm">
                        <w:txbxContent>
                          <w:p w14:paraId="2B074583" w14:textId="77777777" w:rsidR="00FC6C06" w:rsidRDefault="00FC6C06">
                            <w:pPr>
                              <w:spacing w:after="0" w:line="240" w:lineRule="auto"/>
                              <w:textDirection w:val="btLr"/>
                            </w:pPr>
                          </w:p>
                        </w:txbxContent>
                      </v:textbox>
                    </v:oval>
                    <v:rect id="Rectangle 22" o:spid="_x0000_s1047" style="position:absolute;left:12129;top:10058;width:6006;height:6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" filled="f" stroked="f">
                      <v:textbox inset=".31736mm,.31736mm,.31736mm,.31736mm">
                        <w:txbxContent>
                          <w:p w14:paraId="67682570" w14:textId="77777777" w:rsidR="00FC6C06" w:rsidRPr="00E9155E" w:rsidRDefault="009D02A4">
                            <w:pPr>
                              <w:spacing w:after="0" w:line="215" w:lineRule="auto"/>
                              <w:jc w:val="center"/>
                              <w:textDirection w:val="btLr"/>
                              <w:rPr>
                                <w:b/>
                                <w:bCs/>
                              </w:rPr>
                            </w:pPr>
                            <w:r w:rsidRPr="00E9155E">
                              <w:rPr>
                                <w:b/>
                                <w:bCs/>
                                <w:color w:val="000000"/>
                                <w:sz w:val="18"/>
                              </w:rPr>
                              <w:t>Proprietate</w:t>
                            </w:r>
                          </w:p>
                        </w:txbxContent>
                      </v:textbox>
                    </v:rect>
                  </v:group>
                </v:group>
                <w10:anchorlock/>
              </v:group>
            </w:pict>
          </mc:Fallback>
        </mc:AlternateContent>
      </w:r>
    </w:p>
    <w:p w14:paraId="04A2EFF8" w14:textId="77777777" w:rsidR="00FC6C06" w:rsidRPr="00E9155E" w:rsidRDefault="00FC6C06" w:rsidP="00E9155E">
      <w:pPr>
        <w:jc w:val="both"/>
        <w:rPr>
          <w:rFonts w:ascii="Times New Roman" w:hAnsi="Times New Roman" w:cs="Times New Roman"/>
        </w:rPr>
      </w:pPr>
    </w:p>
    <w:p w14:paraId="79DCC0C0"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xml:space="preserve">O matrice a progresului este un instrument care te va ajuta să evaluezi și să îmbunătățești actualul cadru de guvernanță al afacerii tale, identificând performanța companiei în fiecare dintre cele cinci domenii. Această matrice a fost dezvoltată ținând cont de </w:t>
      </w:r>
      <w:r w:rsidRPr="00E9155E">
        <w:rPr>
          <w:rFonts w:ascii="Times New Roman" w:hAnsi="Times New Roman" w:cs="Times New Roman"/>
          <w:color w:val="0070C0"/>
        </w:rPr>
        <w:t xml:space="preserve">Instrumentul de evaluare a guvernanței corporative a </w:t>
      </w:r>
      <w:r w:rsidRPr="00E9155E">
        <w:rPr>
          <w:rFonts w:ascii="Times New Roman" w:hAnsi="Times New Roman" w:cs="Times New Roman"/>
          <w:color w:val="0563C1"/>
        </w:rPr>
        <w:t>întreprinderilor mici și mijlocii</w:t>
      </w:r>
      <w:r w:rsidRPr="00E9155E">
        <w:rPr>
          <w:rFonts w:ascii="Times New Roman" w:hAnsi="Times New Roman" w:cs="Times New Roman"/>
          <w:color w:val="0070C0"/>
        </w:rPr>
        <w:t xml:space="preserve"> pentru investitori</w:t>
      </w:r>
      <w:r w:rsidRPr="00E9155E">
        <w:rPr>
          <w:rFonts w:ascii="Times New Roman" w:hAnsi="Times New Roman" w:cs="Times New Roman"/>
          <w:color w:val="0070C0"/>
          <w:vertAlign w:val="superscript"/>
        </w:rPr>
        <w:footnoteReference w:id="2"/>
      </w:r>
      <w:r w:rsidRPr="00E9155E">
        <w:rPr>
          <w:rFonts w:ascii="Times New Roman" w:hAnsi="Times New Roman" w:cs="Times New Roman"/>
          <w:color w:val="0070C0"/>
        </w:rPr>
        <w:t xml:space="preserve"> </w:t>
      </w:r>
      <w:r w:rsidRPr="00E9155E">
        <w:rPr>
          <w:rFonts w:ascii="Times New Roman" w:hAnsi="Times New Roman" w:cs="Times New Roman"/>
        </w:rPr>
        <w:t xml:space="preserve">și </w:t>
      </w:r>
      <w:r w:rsidRPr="00E9155E">
        <w:rPr>
          <w:rFonts w:ascii="Times New Roman" w:hAnsi="Times New Roman" w:cs="Times New Roman"/>
          <w:color w:val="0563C1"/>
        </w:rPr>
        <w:t>Matricea de progres a guvernanței corporative pentru întreprinderile mici și mijlocii</w:t>
      </w:r>
      <w:r w:rsidRPr="00E9155E">
        <w:rPr>
          <w:rFonts w:ascii="Times New Roman" w:hAnsi="Times New Roman" w:cs="Times New Roman"/>
          <w:color w:val="0563C1"/>
          <w:vertAlign w:val="superscript"/>
        </w:rPr>
        <w:footnoteReference w:id="3"/>
      </w:r>
      <w:r w:rsidRPr="00E9155E">
        <w:rPr>
          <w:rFonts w:ascii="Times New Roman" w:hAnsi="Times New Roman" w:cs="Times New Roman"/>
        </w:rPr>
        <w:t xml:space="preserve"> dezvoltat de IFC (International Finance Corporation).</w:t>
      </w:r>
    </w:p>
    <w:p w14:paraId="24DB86C7"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lastRenderedPageBreak/>
        <w:t>Pentru a dezvolta sau îmbunătăți guvernanța corporativă a afacerii tale, ar trebui să urmărești această matrice de progres:</w:t>
      </w:r>
    </w:p>
    <w:tbl>
      <w:tblPr>
        <w:tblStyle w:val="a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2401"/>
        <w:gridCol w:w="2552"/>
        <w:gridCol w:w="2551"/>
      </w:tblGrid>
      <w:tr w:rsidR="00FC6C06" w:rsidRPr="00E9155E" w14:paraId="5C74B69A" w14:textId="77777777">
        <w:trPr>
          <w:trHeight w:val="416"/>
        </w:trPr>
        <w:tc>
          <w:tcPr>
            <w:tcW w:w="1705" w:type="dxa"/>
            <w:tcBorders>
              <w:top w:val="single" w:sz="4" w:space="0" w:color="000000"/>
              <w:bottom w:val="single" w:sz="4" w:space="0" w:color="000000"/>
              <w:right w:val="single" w:sz="4" w:space="0" w:color="000000"/>
            </w:tcBorders>
            <w:shd w:val="clear" w:color="auto" w:fill="FFCC99"/>
            <w:vAlign w:val="center"/>
          </w:tcPr>
          <w:p w14:paraId="14CE520B" w14:textId="77777777" w:rsidR="00FC6C06" w:rsidRPr="00E9155E" w:rsidRDefault="009D02A4" w:rsidP="00E9155E">
            <w:pPr>
              <w:pBdr>
                <w:top w:val="nil"/>
                <w:left w:val="nil"/>
                <w:bottom w:val="nil"/>
                <w:right w:val="nil"/>
                <w:between w:val="nil"/>
              </w:pBdr>
              <w:spacing w:before="60" w:after="60"/>
              <w:jc w:val="both"/>
              <w:rPr>
                <w:rFonts w:ascii="Times New Roman" w:hAnsi="Times New Roman" w:cs="Times New Roman"/>
                <w:b/>
                <w:color w:val="000000"/>
              </w:rPr>
            </w:pPr>
            <w:r w:rsidRPr="00E9155E">
              <w:rPr>
                <w:rFonts w:ascii="Times New Roman" w:hAnsi="Times New Roman" w:cs="Times New Roman"/>
                <w:b/>
                <w:color w:val="000000"/>
              </w:rPr>
              <w:t>Element de guvernanț</w:t>
            </w:r>
            <w:r w:rsidRPr="00E9155E">
              <w:rPr>
                <w:rFonts w:ascii="Times New Roman" w:hAnsi="Times New Roman" w:cs="Times New Roman"/>
                <w:b/>
              </w:rPr>
              <w:t>ă corporativă</w:t>
            </w:r>
          </w:p>
        </w:tc>
        <w:tc>
          <w:tcPr>
            <w:tcW w:w="2401" w:type="dxa"/>
            <w:tcBorders>
              <w:top w:val="single" w:sz="4" w:space="0" w:color="000000"/>
              <w:bottom w:val="single" w:sz="4" w:space="0" w:color="000000"/>
              <w:right w:val="single" w:sz="4" w:space="0" w:color="000000"/>
            </w:tcBorders>
            <w:shd w:val="clear" w:color="auto" w:fill="FFCC99"/>
            <w:vAlign w:val="center"/>
          </w:tcPr>
          <w:p w14:paraId="4A2E29FE" w14:textId="77777777" w:rsidR="00FC6C06" w:rsidRPr="00E9155E" w:rsidRDefault="009D02A4" w:rsidP="00E9155E">
            <w:pPr>
              <w:jc w:val="both"/>
              <w:rPr>
                <w:rFonts w:ascii="Times New Roman" w:hAnsi="Times New Roman" w:cs="Times New Roman"/>
                <w:b/>
              </w:rPr>
            </w:pPr>
            <w:r w:rsidRPr="00E9155E">
              <w:rPr>
                <w:rFonts w:ascii="Times New Roman" w:hAnsi="Times New Roman" w:cs="Times New Roman"/>
                <w:b/>
              </w:rPr>
              <w:t>Nivelul 1 – Începător</w:t>
            </w:r>
          </w:p>
        </w:tc>
        <w:tc>
          <w:tcPr>
            <w:tcW w:w="2552"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680DBF60" w14:textId="77777777" w:rsidR="00FC6C06" w:rsidRPr="00E9155E" w:rsidRDefault="009D02A4" w:rsidP="00E9155E">
            <w:pPr>
              <w:jc w:val="both"/>
              <w:rPr>
                <w:rFonts w:ascii="Times New Roman" w:hAnsi="Times New Roman" w:cs="Times New Roman"/>
                <w:b/>
              </w:rPr>
            </w:pPr>
            <w:r w:rsidRPr="00E9155E">
              <w:rPr>
                <w:rFonts w:ascii="Times New Roman" w:hAnsi="Times New Roman" w:cs="Times New Roman"/>
                <w:b/>
              </w:rPr>
              <w:t>Nivelul 2 – Mediu</w:t>
            </w:r>
          </w:p>
        </w:tc>
        <w:tc>
          <w:tcPr>
            <w:tcW w:w="2551"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273B85D" w14:textId="77777777" w:rsidR="00FC6C06" w:rsidRPr="00E9155E" w:rsidRDefault="009D02A4" w:rsidP="00E9155E">
            <w:pPr>
              <w:jc w:val="both"/>
              <w:rPr>
                <w:rFonts w:ascii="Times New Roman" w:hAnsi="Times New Roman" w:cs="Times New Roman"/>
                <w:b/>
              </w:rPr>
            </w:pPr>
            <w:r w:rsidRPr="00E9155E">
              <w:rPr>
                <w:rFonts w:ascii="Times New Roman" w:hAnsi="Times New Roman" w:cs="Times New Roman"/>
                <w:b/>
              </w:rPr>
              <w:t>Nivelul 3 – Avansat</w:t>
            </w:r>
          </w:p>
        </w:tc>
      </w:tr>
      <w:tr w:rsidR="00FC6C06" w:rsidRPr="00E9155E" w14:paraId="778911B6" w14:textId="77777777">
        <w:trPr>
          <w:trHeight w:val="725"/>
        </w:trPr>
        <w:tc>
          <w:tcPr>
            <w:tcW w:w="1705" w:type="dxa"/>
          </w:tcPr>
          <w:p w14:paraId="048E24AA"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b/>
              </w:rPr>
              <w:t>Angajamentul față de guvernanța corporativă</w:t>
            </w:r>
          </w:p>
        </w:tc>
        <w:tc>
          <w:tcPr>
            <w:tcW w:w="2401" w:type="dxa"/>
          </w:tcPr>
          <w:p w14:paraId="5C2144C1"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Afacerea are:</w:t>
            </w:r>
          </w:p>
          <w:p w14:paraId="03578665"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formalitățile de bază în vigoare, inclusiv</w:t>
            </w:r>
          </w:p>
          <w:p w14:paraId="4FCB81D8"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un statut, o evidență a acționarilor și a Adunărilor Generale a Acționarilor (AGA);</w:t>
            </w:r>
          </w:p>
          <w:p w14:paraId="4D411B4D"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xml:space="preserve">• funcții de bază și asistate identificate, cum ar fi contabilitate, juridică, administrativă și IT; </w:t>
            </w:r>
          </w:p>
          <w:p w14:paraId="55C13F06"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misiune și valori definite.</w:t>
            </w:r>
          </w:p>
          <w:p w14:paraId="719BB227" w14:textId="77777777" w:rsidR="00FC6C06" w:rsidRPr="00E9155E" w:rsidRDefault="00FC6C06" w:rsidP="00E9155E">
            <w:pPr>
              <w:jc w:val="both"/>
              <w:rPr>
                <w:rFonts w:ascii="Times New Roman" w:hAnsi="Times New Roman" w:cs="Times New Roman"/>
              </w:rPr>
            </w:pPr>
          </w:p>
          <w:p w14:paraId="7D0E6E5C"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Există, de asemenea, o distincție între strategie (obiectivele companiei pentru următorii câțiva ani) și planuri de afaceri, planuri financiare (instrumente pentru a executa strategia în fiecare an).</w:t>
            </w:r>
          </w:p>
          <w:p w14:paraId="2DACCAB7" w14:textId="77777777" w:rsidR="00FC6C06" w:rsidRPr="00E9155E" w:rsidRDefault="00FC6C06" w:rsidP="00E9155E">
            <w:pPr>
              <w:ind w:left="360"/>
              <w:jc w:val="both"/>
              <w:rPr>
                <w:rFonts w:ascii="Times New Roman" w:hAnsi="Times New Roman" w:cs="Times New Roman"/>
              </w:rPr>
            </w:pPr>
          </w:p>
        </w:tc>
        <w:tc>
          <w:tcPr>
            <w:tcW w:w="2552" w:type="dxa"/>
          </w:tcPr>
          <w:p w14:paraId="58E99BBB"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Întreprinderea are o repartizare clară a responsabilităților și autorității între principalele diviziuni manageriale și între liderii funcțiilor cheie.</w:t>
            </w:r>
          </w:p>
          <w:p w14:paraId="15083931" w14:textId="77777777" w:rsidR="00FC6C06" w:rsidRPr="00E9155E" w:rsidRDefault="00FC6C06" w:rsidP="00E9155E">
            <w:pPr>
              <w:jc w:val="both"/>
              <w:rPr>
                <w:rFonts w:ascii="Times New Roman" w:hAnsi="Times New Roman" w:cs="Times New Roman"/>
              </w:rPr>
            </w:pPr>
          </w:p>
          <w:p w14:paraId="7786C19F"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Întreprinderea a atribuit, de asemenea, responsabilitatea dezvoltării și revizuirii structurilor și proceselor de guvernanță unui sistem managerial sau unui membru superior al conducerii.</w:t>
            </w:r>
          </w:p>
        </w:tc>
        <w:tc>
          <w:tcPr>
            <w:tcW w:w="2551" w:type="dxa"/>
          </w:tcPr>
          <w:p w14:paraId="07BEF324"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Statutul companiei include prevederi privind:</w:t>
            </w:r>
          </w:p>
          <w:p w14:paraId="438261A7"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înființarea unui consiliu de administrare;</w:t>
            </w:r>
          </w:p>
          <w:p w14:paraId="7BE918A2"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protecția drepturilor acționarilor și o abordare echitabilă a acționarilor;</w:t>
            </w:r>
          </w:p>
          <w:p w14:paraId="3862FE4E"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xml:space="preserve">• o dispersie clară a autorității între acționari, consiliu și organele executive; </w:t>
            </w:r>
          </w:p>
          <w:p w14:paraId="48C2CF20"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dezvăluirea informației.</w:t>
            </w:r>
          </w:p>
          <w:p w14:paraId="7490E1D4" w14:textId="77777777" w:rsidR="00FC6C06" w:rsidRPr="00E9155E" w:rsidRDefault="00FC6C06" w:rsidP="00E9155E">
            <w:pPr>
              <w:jc w:val="both"/>
              <w:rPr>
                <w:rFonts w:ascii="Times New Roman" w:hAnsi="Times New Roman" w:cs="Times New Roman"/>
              </w:rPr>
            </w:pPr>
          </w:p>
          <w:p w14:paraId="75346EBC"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Întreprinderea s-a documentat în privința proceselor cheie de guvernanță,a dezvoltat și urmărește termenii de referință care reglementează activitățile și procedurile de lucru ale organelor sale corporative. Dacă este cazul, există un plan formal de succesiune.</w:t>
            </w:r>
          </w:p>
        </w:tc>
      </w:tr>
      <w:tr w:rsidR="00FC6C06" w:rsidRPr="00E9155E" w14:paraId="299FF28D" w14:textId="77777777">
        <w:trPr>
          <w:trHeight w:val="725"/>
        </w:trPr>
        <w:tc>
          <w:tcPr>
            <w:tcW w:w="1705" w:type="dxa"/>
          </w:tcPr>
          <w:p w14:paraId="60797737"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b/>
              </w:rPr>
              <w:t>Luarea deciziilor și supravegherea</w:t>
            </w:r>
          </w:p>
        </w:tc>
        <w:tc>
          <w:tcPr>
            <w:tcW w:w="2401" w:type="dxa"/>
          </w:tcPr>
          <w:p w14:paraId="2EDF5BD0"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Personalul cheie al companiei este conștient de misiunile sale;</w:t>
            </w:r>
          </w:p>
          <w:p w14:paraId="49D20471"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Delegarea limitată a autorității responsabile pentru semnare este formalizată;</w:t>
            </w:r>
          </w:p>
          <w:p w14:paraId="190140A4"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Acționarii iau decizii cheie în urma consultării cu directorii executivi.</w:t>
            </w:r>
          </w:p>
        </w:tc>
        <w:tc>
          <w:tcPr>
            <w:tcW w:w="2552" w:type="dxa"/>
          </w:tcPr>
          <w:p w14:paraId="60198208"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Astfel, întreprinderea are o procedură clară de selecție și remunerare pentru directori executivi, supravegherea sistemului de control intern și auditului extern.</w:t>
            </w:r>
          </w:p>
          <w:p w14:paraId="4D9E5E6C" w14:textId="77777777" w:rsidR="00FC6C06" w:rsidRPr="00E9155E" w:rsidRDefault="00FC6C06" w:rsidP="00E9155E">
            <w:pPr>
              <w:jc w:val="both"/>
              <w:rPr>
                <w:rFonts w:ascii="Times New Roman" w:hAnsi="Times New Roman" w:cs="Times New Roman"/>
              </w:rPr>
            </w:pPr>
          </w:p>
        </w:tc>
        <w:tc>
          <w:tcPr>
            <w:tcW w:w="2551" w:type="dxa"/>
          </w:tcPr>
          <w:p w14:paraId="4F993631"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Întreprinderea are un Consiliu de Administrație formal cu atribuții și responsabilități clar definite în legătură cu:</w:t>
            </w:r>
          </w:p>
          <w:p w14:paraId="43C0D14A"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stabilirea strategiei;</w:t>
            </w:r>
          </w:p>
          <w:p w14:paraId="5729D567"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selectarea și remunerarea directorilor executivi;</w:t>
            </w:r>
          </w:p>
          <w:p w14:paraId="7AECC23B"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•gestiunea riscurilor;</w:t>
            </w:r>
          </w:p>
          <w:p w14:paraId="67E44E43"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supravegherea supravegherea auditului intern și extern;</w:t>
            </w:r>
          </w:p>
          <w:p w14:paraId="3C9B51DB"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•pregătirea situațiilor financiare;</w:t>
            </w:r>
          </w:p>
          <w:p w14:paraId="2DA01F84"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•decizii cu privire la cheltuieli majore de capital și tranzacții de valoare mare.</w:t>
            </w:r>
          </w:p>
          <w:p w14:paraId="72E5E670" w14:textId="77777777" w:rsidR="00FC6C06" w:rsidRPr="00E9155E" w:rsidRDefault="00FC6C06" w:rsidP="00E9155E">
            <w:pPr>
              <w:jc w:val="both"/>
              <w:rPr>
                <w:rFonts w:ascii="Times New Roman" w:hAnsi="Times New Roman" w:cs="Times New Roman"/>
              </w:rPr>
            </w:pPr>
          </w:p>
          <w:p w14:paraId="78C64E92"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Consiliu de Administrație întrunește membri care:</w:t>
            </w:r>
          </w:p>
          <w:p w14:paraId="6AC128DA"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posedă un mix adecvat de abilități;</w:t>
            </w:r>
          </w:p>
          <w:p w14:paraId="0F49301B"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xml:space="preserve">• se întrunește conform unui program regulat; </w:t>
            </w:r>
          </w:p>
          <w:p w14:paraId="05C7276C"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lastRenderedPageBreak/>
              <w:t xml:space="preserve">• produce și aprobă procesele verbale; </w:t>
            </w:r>
          </w:p>
          <w:p w14:paraId="444002C5"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are agenda și materialele de sprijin pregătite și împărtășite cu mult timp în avans.</w:t>
            </w:r>
          </w:p>
          <w:p w14:paraId="66B723AB" w14:textId="77777777" w:rsidR="00FC6C06" w:rsidRPr="00E9155E" w:rsidRDefault="00FC6C06" w:rsidP="00E9155E">
            <w:pPr>
              <w:jc w:val="both"/>
              <w:rPr>
                <w:rFonts w:ascii="Times New Roman" w:hAnsi="Times New Roman" w:cs="Times New Roman"/>
              </w:rPr>
            </w:pPr>
          </w:p>
          <w:p w14:paraId="1AE04ABD"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Întreprinderea are un plan de succesiune pentru CEO și pozițiile cheie.</w:t>
            </w:r>
          </w:p>
        </w:tc>
      </w:tr>
      <w:tr w:rsidR="00FC6C06" w:rsidRPr="00E9155E" w14:paraId="0B682DBF" w14:textId="77777777">
        <w:trPr>
          <w:trHeight w:val="758"/>
        </w:trPr>
        <w:tc>
          <w:tcPr>
            <w:tcW w:w="1705" w:type="dxa"/>
          </w:tcPr>
          <w:p w14:paraId="7828E668"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b/>
              </w:rPr>
              <w:lastRenderedPageBreak/>
              <w:t>Controlul mediului și al proceselor</w:t>
            </w:r>
          </w:p>
          <w:p w14:paraId="541C2628" w14:textId="77777777" w:rsidR="00FC6C06" w:rsidRPr="00E9155E" w:rsidRDefault="00FC6C06" w:rsidP="00E9155E">
            <w:pPr>
              <w:jc w:val="both"/>
              <w:rPr>
                <w:rFonts w:ascii="Times New Roman" w:hAnsi="Times New Roman" w:cs="Times New Roman"/>
              </w:rPr>
            </w:pPr>
          </w:p>
        </w:tc>
        <w:tc>
          <w:tcPr>
            <w:tcW w:w="2401" w:type="dxa"/>
          </w:tcPr>
          <w:p w14:paraId="56F0A878"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Întreprinderea are controale interne de bază pentru funcțiile sale comerciale și pentru evidența contabilă și are propriile surse de numerar și conturi bancare separate de fondatori sau proprietari.</w:t>
            </w:r>
          </w:p>
        </w:tc>
        <w:tc>
          <w:tcPr>
            <w:tcW w:w="2552" w:type="dxa"/>
          </w:tcPr>
          <w:p w14:paraId="697BD88F"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Întreprinderea are stabilit un sistem contabil solid, a identificat riscurile cheie și a adoptat politici relevante pentru a le reduce, inclusiv în ceea ce privește securitatea IT. Auditorii externi sunt selectați conform unei proceduri stabilite.</w:t>
            </w:r>
          </w:p>
          <w:p w14:paraId="4F2FE567" w14:textId="77777777" w:rsidR="00FC6C06" w:rsidRPr="00E9155E" w:rsidRDefault="00FC6C06" w:rsidP="00E9155E">
            <w:pPr>
              <w:jc w:val="both"/>
              <w:rPr>
                <w:rFonts w:ascii="Times New Roman" w:hAnsi="Times New Roman" w:cs="Times New Roman"/>
              </w:rPr>
            </w:pPr>
          </w:p>
          <w:p w14:paraId="7B807921"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Întreprinderea menține, de asemenea, un registru cu principalele riscuri financiare și nefinanciare pentru afacere, iar conducerea consideră riscurile atunci când elaborează și revizuiește planurile strategice.</w:t>
            </w:r>
          </w:p>
        </w:tc>
        <w:tc>
          <w:tcPr>
            <w:tcW w:w="2551" w:type="dxa"/>
          </w:tcPr>
          <w:p w14:paraId="0AB3E998"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Afacerea are:</w:t>
            </w:r>
          </w:p>
          <w:p w14:paraId="33151069"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•stabilită o funcție de audit intern în conformitate cu cele mai înalte standarde naționale care raportează direct consiliului;</w:t>
            </w:r>
          </w:p>
          <w:p w14:paraId="4A235BB8"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obiective documentate, planificare strategică, buget și indicatori de performanță.</w:t>
            </w:r>
          </w:p>
          <w:p w14:paraId="498277F0" w14:textId="77777777" w:rsidR="00FC6C06" w:rsidRPr="00E9155E" w:rsidRDefault="00FC6C06" w:rsidP="00E9155E">
            <w:pPr>
              <w:jc w:val="both"/>
              <w:rPr>
                <w:rFonts w:ascii="Times New Roman" w:hAnsi="Times New Roman" w:cs="Times New Roman"/>
              </w:rPr>
            </w:pPr>
          </w:p>
          <w:p w14:paraId="2D4000B7"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Consiliul de administrație monitorizează gestionarea riscurilor, politicile și procedurile de conformitate ale companiei. Consiliul are, de asemenea, un comitet de audit, prezidat de un director independent, compus din majoritatea directorilor independenți, inclusiv experți financiari cu experiență, cu responsabilități clare în ceea ce privește gestionarea riscurilor,, audit, tranzacții materiale și conflicte de interese.</w:t>
            </w:r>
          </w:p>
        </w:tc>
      </w:tr>
      <w:tr w:rsidR="00FC6C06" w:rsidRPr="00E9155E" w14:paraId="2A0DEE75" w14:textId="77777777">
        <w:trPr>
          <w:trHeight w:val="725"/>
        </w:trPr>
        <w:tc>
          <w:tcPr>
            <w:tcW w:w="1705" w:type="dxa"/>
          </w:tcPr>
          <w:p w14:paraId="36AFB3E1" w14:textId="77777777" w:rsidR="00FC6C06" w:rsidRPr="00E9155E" w:rsidRDefault="009D02A4" w:rsidP="00E9155E">
            <w:pPr>
              <w:jc w:val="both"/>
              <w:rPr>
                <w:rFonts w:ascii="Times New Roman" w:hAnsi="Times New Roman" w:cs="Times New Roman"/>
                <w:b/>
              </w:rPr>
            </w:pPr>
            <w:r w:rsidRPr="00E9155E">
              <w:rPr>
                <w:rFonts w:ascii="Times New Roman" w:hAnsi="Times New Roman" w:cs="Times New Roman"/>
                <w:b/>
              </w:rPr>
              <w:t>Transparență și dezvăluire</w:t>
            </w:r>
          </w:p>
          <w:p w14:paraId="0D94A11F" w14:textId="77777777" w:rsidR="00FC6C06" w:rsidRPr="00E9155E" w:rsidRDefault="00FC6C06" w:rsidP="00E9155E">
            <w:pPr>
              <w:jc w:val="both"/>
              <w:rPr>
                <w:rFonts w:ascii="Times New Roman" w:hAnsi="Times New Roman" w:cs="Times New Roman"/>
                <w:b/>
              </w:rPr>
            </w:pPr>
          </w:p>
        </w:tc>
        <w:tc>
          <w:tcPr>
            <w:tcW w:w="2401" w:type="dxa"/>
          </w:tcPr>
          <w:p w14:paraId="19F5E8B2"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Afacerea are situații financiare întocmite și auditate în conformitate cu standardele naționale de contabilitate.</w:t>
            </w:r>
          </w:p>
          <w:p w14:paraId="09ECC49E" w14:textId="77777777" w:rsidR="00FC6C06" w:rsidRPr="00E9155E" w:rsidRDefault="00FC6C06" w:rsidP="00E9155E">
            <w:pPr>
              <w:jc w:val="both"/>
              <w:rPr>
                <w:rFonts w:ascii="Times New Roman" w:hAnsi="Times New Roman" w:cs="Times New Roman"/>
              </w:rPr>
            </w:pPr>
          </w:p>
          <w:p w14:paraId="5B3F8D9B"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xml:space="preserve">Situațiile financiare anuale sunt aprobate de Adunările Generale a Acționarilor (AGA) anual. </w:t>
            </w:r>
          </w:p>
        </w:tc>
        <w:tc>
          <w:tcPr>
            <w:tcW w:w="2552" w:type="dxa"/>
          </w:tcPr>
          <w:p w14:paraId="30285398"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Întreprinderea respectă toate cerințele locale de divulgare și are un profil public, inclusiv un site web care conține informații legate de management.</w:t>
            </w:r>
          </w:p>
        </w:tc>
        <w:tc>
          <w:tcPr>
            <w:tcW w:w="2551" w:type="dxa"/>
          </w:tcPr>
          <w:p w14:paraId="161BB15B"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Întreprinderea pregătește și prezintă toate situațiile financiare și raportarea în conformitate cu un sistem de contabilitate recunoscut la nivel internațional, cum ar fi IFRS. Acestea sunt auditate de auditori externi independenți respectați, care sunt rotiți în mod regulat.</w:t>
            </w:r>
          </w:p>
          <w:p w14:paraId="3F6FC04F" w14:textId="77777777" w:rsidR="00FC6C06" w:rsidRPr="00E9155E" w:rsidRDefault="00FC6C06" w:rsidP="00E9155E">
            <w:pPr>
              <w:jc w:val="both"/>
              <w:rPr>
                <w:rFonts w:ascii="Times New Roman" w:hAnsi="Times New Roman" w:cs="Times New Roman"/>
              </w:rPr>
            </w:pPr>
          </w:p>
          <w:p w14:paraId="3D315EC8"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 xml:space="preserve">Acționarilor li se furnizează informații și documentație la cererea lor și așa cum este specificat de legislație. Aceasta include conturile </w:t>
            </w:r>
            <w:r w:rsidRPr="00E9155E">
              <w:rPr>
                <w:rFonts w:ascii="Times New Roman" w:hAnsi="Times New Roman" w:cs="Times New Roman"/>
              </w:rPr>
              <w:lastRenderedPageBreak/>
              <w:t>auditorilor, documentele AGA anuale, tranzacțiile cu părțile afiliate și informațiile cheie privind managementul, cum ar fi statutul, statutul consiliului, biografiile membrilor consiliului, discuțiile privind strategia și riscurile din raportul anual și informații despre controalele interne.</w:t>
            </w:r>
          </w:p>
        </w:tc>
      </w:tr>
      <w:tr w:rsidR="00FC6C06" w:rsidRPr="00E9155E" w14:paraId="05823828" w14:textId="77777777">
        <w:trPr>
          <w:trHeight w:val="725"/>
        </w:trPr>
        <w:tc>
          <w:tcPr>
            <w:tcW w:w="1705" w:type="dxa"/>
          </w:tcPr>
          <w:p w14:paraId="7381C323" w14:textId="77777777" w:rsidR="00FC6C06" w:rsidRPr="00E9155E" w:rsidRDefault="009D02A4" w:rsidP="00E9155E">
            <w:pPr>
              <w:jc w:val="both"/>
              <w:rPr>
                <w:rFonts w:ascii="Times New Roman" w:hAnsi="Times New Roman" w:cs="Times New Roman"/>
                <w:b/>
              </w:rPr>
            </w:pPr>
            <w:r w:rsidRPr="00E9155E">
              <w:rPr>
                <w:rFonts w:ascii="Times New Roman" w:hAnsi="Times New Roman" w:cs="Times New Roman"/>
                <w:b/>
              </w:rPr>
              <w:lastRenderedPageBreak/>
              <w:t>Proprietate</w:t>
            </w:r>
          </w:p>
        </w:tc>
        <w:tc>
          <w:tcPr>
            <w:tcW w:w="2401" w:type="dxa"/>
          </w:tcPr>
          <w:p w14:paraId="5427FE3D"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Afacerea a identificat rolurile și responsabilitățile fondatorilor (și a tuturor membrilor familiei într-o afacere de familie). Există un acord al acționarilor. Proprietatea beneficiară finală este dezvăluită.</w:t>
            </w:r>
          </w:p>
          <w:p w14:paraId="1D5152FD" w14:textId="77777777" w:rsidR="00FC6C06" w:rsidRPr="00E9155E" w:rsidRDefault="00FC6C06" w:rsidP="00E9155E">
            <w:pPr>
              <w:jc w:val="both"/>
              <w:rPr>
                <w:rFonts w:ascii="Times New Roman" w:hAnsi="Times New Roman" w:cs="Times New Roman"/>
              </w:rPr>
            </w:pPr>
          </w:p>
        </w:tc>
        <w:tc>
          <w:tcPr>
            <w:tcW w:w="2552" w:type="dxa"/>
          </w:tcPr>
          <w:p w14:paraId="53E96BCE"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Afacerea deține Adunările Generale a Acționarilor (AGA), cu agende și materiale explicative furnizate cu suficient timp în avans, care includ discuții despre deciziile cheie luate. Toți acționarii sunt tratați în mod egal și există linii clare de comunicare cu acționarii. Dacă este cazul, există un plan formal de succesiune.</w:t>
            </w:r>
          </w:p>
        </w:tc>
        <w:tc>
          <w:tcPr>
            <w:tcW w:w="2551" w:type="dxa"/>
          </w:tcPr>
          <w:p w14:paraId="3CD9AB02" w14:textId="77777777" w:rsidR="00FC6C06" w:rsidRPr="00E9155E" w:rsidRDefault="009D02A4" w:rsidP="00E9155E">
            <w:pPr>
              <w:jc w:val="both"/>
              <w:rPr>
                <w:rFonts w:ascii="Times New Roman" w:hAnsi="Times New Roman" w:cs="Times New Roman"/>
              </w:rPr>
            </w:pPr>
            <w:r w:rsidRPr="00E9155E">
              <w:rPr>
                <w:rFonts w:ascii="Times New Roman" w:hAnsi="Times New Roman" w:cs="Times New Roman"/>
              </w:rPr>
              <w:t>Acționarii pot apela la o adunare a acționarilor, pot propune puncte pe ordinea de zi și pot pune întrebări la Adunările Generale a Acționarilor (AGA). Afacerea are un proces transparent de declarare și plată a dividendelor și un mecanism de abordare a problemelor și conflictelor acționarilor. Toți acționarii sunt actualizați în mod regulat cu privire la strategia și rezultatele afacerii.</w:t>
            </w:r>
          </w:p>
        </w:tc>
      </w:tr>
    </w:tbl>
    <w:p w14:paraId="6FB1147F" w14:textId="77777777" w:rsidR="00FC6C06" w:rsidRPr="00E9155E" w:rsidRDefault="00FC6C06" w:rsidP="00E9155E">
      <w:pPr>
        <w:jc w:val="both"/>
        <w:rPr>
          <w:rFonts w:ascii="Times New Roman" w:hAnsi="Times New Roman" w:cs="Times New Roman"/>
        </w:rPr>
      </w:pPr>
    </w:p>
    <w:sectPr w:rsidR="00FC6C06" w:rsidRPr="00E9155E" w:rsidSect="00447B20">
      <w:headerReference w:type="default" r:id="rId7"/>
      <w:pgSz w:w="11906" w:h="16838"/>
      <w:pgMar w:top="851" w:right="1440" w:bottom="1440" w:left="1440" w:header="284"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21F75" w14:textId="77777777" w:rsidR="007A49A0" w:rsidRDefault="007A49A0">
      <w:pPr>
        <w:spacing w:after="0" w:line="240" w:lineRule="auto"/>
      </w:pPr>
      <w:r>
        <w:separator/>
      </w:r>
    </w:p>
  </w:endnote>
  <w:endnote w:type="continuationSeparator" w:id="0">
    <w:p w14:paraId="00DECC70" w14:textId="77777777" w:rsidR="007A49A0" w:rsidRDefault="007A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Sans-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6E10" w14:textId="77777777" w:rsidR="007A49A0" w:rsidRDefault="007A49A0">
      <w:pPr>
        <w:spacing w:after="0" w:line="240" w:lineRule="auto"/>
      </w:pPr>
      <w:r>
        <w:separator/>
      </w:r>
    </w:p>
  </w:footnote>
  <w:footnote w:type="continuationSeparator" w:id="0">
    <w:p w14:paraId="40365999" w14:textId="77777777" w:rsidR="007A49A0" w:rsidRDefault="007A49A0">
      <w:pPr>
        <w:spacing w:after="0" w:line="240" w:lineRule="auto"/>
      </w:pPr>
      <w:r>
        <w:continuationSeparator/>
      </w:r>
    </w:p>
  </w:footnote>
  <w:footnote w:id="1">
    <w:p w14:paraId="6E57B316" w14:textId="77777777" w:rsidR="00FC6C06" w:rsidRDefault="009D02A4">
      <w:pPr>
        <w:spacing w:after="0" w:line="240" w:lineRule="auto"/>
        <w:rPr>
          <w:sz w:val="20"/>
          <w:szCs w:val="20"/>
        </w:rPr>
      </w:pPr>
      <w:r>
        <w:rPr>
          <w:rStyle w:val="FootnoteReference"/>
        </w:rPr>
        <w:footnoteRef/>
      </w:r>
      <w:r>
        <w:rPr>
          <w:sz w:val="20"/>
          <w:szCs w:val="20"/>
        </w:rPr>
        <w:t xml:space="preserve"> </w:t>
      </w:r>
      <w:hyperlink r:id="rId1">
        <w:r>
          <w:rPr>
            <w:color w:val="1155CC"/>
            <w:sz w:val="20"/>
            <w:szCs w:val="20"/>
            <w:u w:val="single"/>
          </w:rPr>
          <w:t>OECD iLibrary | G20/OECD Principles of Corporate Governance (oecd-ilibrary.org)</w:t>
        </w:r>
      </w:hyperlink>
    </w:p>
  </w:footnote>
  <w:footnote w:id="2">
    <w:p w14:paraId="357E51D9" w14:textId="77777777" w:rsidR="00FC6C06" w:rsidRDefault="009D02A4">
      <w:pPr>
        <w:spacing w:after="0" w:line="240" w:lineRule="auto"/>
        <w:rPr>
          <w:sz w:val="20"/>
          <w:szCs w:val="20"/>
        </w:rPr>
      </w:pPr>
      <w:r>
        <w:rPr>
          <w:rStyle w:val="FootnoteReference"/>
        </w:rPr>
        <w:footnoteRef/>
      </w:r>
      <w:r>
        <w:rPr>
          <w:sz w:val="20"/>
          <w:szCs w:val="20"/>
        </w:rPr>
        <w:t xml:space="preserve"> </w:t>
      </w:r>
      <w:hyperlink r:id="rId2">
        <w:r>
          <w:rPr>
            <w:color w:val="1155CC"/>
            <w:sz w:val="20"/>
            <w:szCs w:val="20"/>
            <w:u w:val="single"/>
          </w:rPr>
          <w:t>SME Governance assessment tool (cgdevelopmentframework.com)</w:t>
        </w:r>
      </w:hyperlink>
    </w:p>
  </w:footnote>
  <w:footnote w:id="3">
    <w:p w14:paraId="4A16B93D" w14:textId="77777777" w:rsidR="00FC6C06" w:rsidRDefault="009D02A4">
      <w:pPr>
        <w:spacing w:after="0" w:line="240" w:lineRule="auto"/>
        <w:rPr>
          <w:sz w:val="20"/>
          <w:szCs w:val="20"/>
        </w:rPr>
      </w:pPr>
      <w:r>
        <w:rPr>
          <w:rStyle w:val="FootnoteReference"/>
        </w:rPr>
        <w:footnoteRef/>
      </w:r>
      <w:r>
        <w:rPr>
          <w:sz w:val="20"/>
          <w:szCs w:val="20"/>
        </w:rPr>
        <w:t xml:space="preserve"> </w:t>
      </w:r>
      <w:hyperlink r:id="rId3">
        <w:r>
          <w:rPr>
            <w:color w:val="1155CC"/>
            <w:sz w:val="20"/>
            <w:szCs w:val="20"/>
            <w:u w:val="single"/>
          </w:rPr>
          <w:t>CG Progression Matrix for Small Medium Enterpirses .indd (ifc.org)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6FE9" w14:textId="0E1A2EED" w:rsidR="00E9155E" w:rsidRDefault="00E9155E" w:rsidP="00E9155E">
    <w:pPr>
      <w:pStyle w:val="Header"/>
      <w:ind w:left="-142"/>
    </w:pPr>
    <w:r w:rsidRPr="0089693E">
      <w:t xml:space="preserve"> </w:t>
    </w:r>
    <w:r>
      <w:rPr>
        <w:noProof/>
        <w:lang w:val="ru-RU"/>
      </w:rPr>
      <w:t xml:space="preserve">  </w:t>
    </w:r>
    <w:r>
      <w:rPr>
        <w:noProof/>
      </w:rPr>
      <w:t xml:space="preserve">   </w:t>
    </w:r>
    <w:r>
      <w:rPr>
        <w:noProof/>
        <w:lang w:val="ru-RU"/>
      </w:rPr>
      <w:t xml:space="preserve"> </w:t>
    </w:r>
    <w:r>
      <w:rPr>
        <w:noProof/>
      </w:rPr>
      <w:t xml:space="preserve">    </w:t>
    </w:r>
    <w:r>
      <w:rPr>
        <w:noProof/>
        <w:lang w:val="ru-RU"/>
      </w:rPr>
      <w:t xml:space="preserve">   </w:t>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06"/>
    <w:rsid w:val="00447B20"/>
    <w:rsid w:val="007A49A0"/>
    <w:rsid w:val="009D02A4"/>
    <w:rsid w:val="00B157AD"/>
    <w:rsid w:val="00E9155E"/>
    <w:rsid w:val="00FC6C0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A8DF5"/>
  <w15:docId w15:val="{D2368249-16D3-4A78-8705-7BA7943F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M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E21"/>
    <w:pPr>
      <w:keepNext/>
      <w:keepLines/>
      <w:spacing w:before="240" w:after="0" w:line="256"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031243"/>
    <w:rPr>
      <w:sz w:val="16"/>
      <w:szCs w:val="16"/>
    </w:rPr>
  </w:style>
  <w:style w:type="paragraph" w:styleId="CommentText">
    <w:name w:val="annotation text"/>
    <w:basedOn w:val="Normal"/>
    <w:link w:val="CommentTextChar"/>
    <w:uiPriority w:val="99"/>
    <w:semiHidden/>
    <w:unhideWhenUsed/>
    <w:rsid w:val="00031243"/>
    <w:pPr>
      <w:spacing w:line="240" w:lineRule="auto"/>
    </w:pPr>
    <w:rPr>
      <w:sz w:val="20"/>
      <w:szCs w:val="20"/>
    </w:rPr>
  </w:style>
  <w:style w:type="character" w:customStyle="1" w:styleId="CommentTextChar">
    <w:name w:val="Comment Text Char"/>
    <w:basedOn w:val="DefaultParagraphFont"/>
    <w:link w:val="CommentText"/>
    <w:uiPriority w:val="99"/>
    <w:semiHidden/>
    <w:rsid w:val="00031243"/>
    <w:rPr>
      <w:sz w:val="20"/>
      <w:szCs w:val="20"/>
    </w:rPr>
  </w:style>
  <w:style w:type="paragraph" w:styleId="CommentSubject">
    <w:name w:val="annotation subject"/>
    <w:basedOn w:val="CommentText"/>
    <w:next w:val="CommentText"/>
    <w:link w:val="CommentSubjectChar"/>
    <w:uiPriority w:val="99"/>
    <w:semiHidden/>
    <w:unhideWhenUsed/>
    <w:rsid w:val="00031243"/>
    <w:rPr>
      <w:b/>
      <w:bCs/>
    </w:rPr>
  </w:style>
  <w:style w:type="character" w:customStyle="1" w:styleId="CommentSubjectChar">
    <w:name w:val="Comment Subject Char"/>
    <w:basedOn w:val="CommentTextChar"/>
    <w:link w:val="CommentSubject"/>
    <w:uiPriority w:val="99"/>
    <w:semiHidden/>
    <w:rsid w:val="00031243"/>
    <w:rPr>
      <w:b/>
      <w:bCs/>
      <w:sz w:val="20"/>
      <w:szCs w:val="20"/>
    </w:rPr>
  </w:style>
  <w:style w:type="paragraph" w:styleId="BalloonText">
    <w:name w:val="Balloon Text"/>
    <w:basedOn w:val="Normal"/>
    <w:link w:val="BalloonTextChar"/>
    <w:uiPriority w:val="99"/>
    <w:semiHidden/>
    <w:unhideWhenUsed/>
    <w:rsid w:val="00031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243"/>
    <w:rPr>
      <w:rFonts w:ascii="Segoe UI" w:hAnsi="Segoe UI" w:cs="Segoe UI"/>
      <w:sz w:val="18"/>
      <w:szCs w:val="18"/>
    </w:rPr>
  </w:style>
  <w:style w:type="paragraph" w:styleId="ListParagraph">
    <w:name w:val="List Paragraph"/>
    <w:basedOn w:val="Normal"/>
    <w:uiPriority w:val="34"/>
    <w:qFormat/>
    <w:rsid w:val="00031243"/>
    <w:pPr>
      <w:spacing w:after="0" w:line="240" w:lineRule="auto"/>
      <w:ind w:left="720"/>
      <w:contextualSpacing/>
    </w:pPr>
    <w:rPr>
      <w:rFonts w:ascii="Times New Roman" w:eastAsia="Times New Roman" w:hAnsi="Times New Roman" w:cs="Times New Roman"/>
      <w:sz w:val="24"/>
      <w:szCs w:val="24"/>
      <w:lang w:eastAsia="en-GB"/>
    </w:rPr>
  </w:style>
  <w:style w:type="paragraph" w:styleId="Revision">
    <w:name w:val="Revision"/>
    <w:hidden/>
    <w:uiPriority w:val="99"/>
    <w:semiHidden/>
    <w:rsid w:val="00874E21"/>
    <w:pPr>
      <w:spacing w:after="0" w:line="240" w:lineRule="auto"/>
    </w:pPr>
  </w:style>
  <w:style w:type="character" w:customStyle="1" w:styleId="Heading1Char">
    <w:name w:val="Heading 1 Char"/>
    <w:basedOn w:val="DefaultParagraphFont"/>
    <w:link w:val="Heading1"/>
    <w:uiPriority w:val="9"/>
    <w:rsid w:val="00874E2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E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381"/>
  </w:style>
  <w:style w:type="paragraph" w:styleId="Footer">
    <w:name w:val="footer"/>
    <w:basedOn w:val="Normal"/>
    <w:link w:val="FooterChar"/>
    <w:uiPriority w:val="99"/>
    <w:unhideWhenUsed/>
    <w:rsid w:val="00863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381"/>
  </w:style>
  <w:style w:type="character" w:styleId="Hyperlink">
    <w:name w:val="Hyperlink"/>
    <w:basedOn w:val="DefaultParagraphFont"/>
    <w:uiPriority w:val="99"/>
    <w:unhideWhenUsed/>
    <w:rsid w:val="0000716E"/>
    <w:rPr>
      <w:color w:val="0563C1"/>
      <w:u w:val="single"/>
    </w:rPr>
  </w:style>
  <w:style w:type="paragraph" w:customStyle="1" w:styleId="Bulletpoints">
    <w:name w:val="Bullet points"/>
    <w:rsid w:val="00A27415"/>
    <w:pPr>
      <w:overflowPunct w:val="0"/>
      <w:autoSpaceDE w:val="0"/>
      <w:autoSpaceDN w:val="0"/>
      <w:adjustRightInd w:val="0"/>
      <w:spacing w:after="0" w:line="200" w:lineRule="exact"/>
      <w:ind w:left="141" w:hanging="142"/>
      <w:textAlignment w:val="baseline"/>
    </w:pPr>
    <w:rPr>
      <w:rFonts w:ascii="FoundrySans-Light" w:eastAsia="Times New Roman" w:hAnsi="FoundrySans-Light" w:cs="Times New Roman"/>
      <w:noProof/>
      <w:sz w:val="16"/>
      <w:szCs w:val="16"/>
      <w:lang w:eastAsia="en-GB"/>
    </w:rPr>
  </w:style>
  <w:style w:type="character" w:styleId="FollowedHyperlink">
    <w:name w:val="FollowedHyperlink"/>
    <w:basedOn w:val="DefaultParagraphFont"/>
    <w:uiPriority w:val="99"/>
    <w:semiHidden/>
    <w:unhideWhenUsed/>
    <w:rsid w:val="0064183D"/>
    <w:rPr>
      <w:color w:val="954F72" w:themeColor="followedHyperlink"/>
      <w:u w:val="single"/>
    </w:rPr>
  </w:style>
  <w:style w:type="paragraph" w:styleId="FootnoteText">
    <w:name w:val="footnote text"/>
    <w:basedOn w:val="Normal"/>
    <w:link w:val="FootnoteTextChar"/>
    <w:uiPriority w:val="99"/>
    <w:semiHidden/>
    <w:unhideWhenUsed/>
    <w:rsid w:val="00870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A09"/>
    <w:rPr>
      <w:sz w:val="20"/>
      <w:szCs w:val="20"/>
    </w:rPr>
  </w:style>
  <w:style w:type="character" w:styleId="FootnoteReference">
    <w:name w:val="footnote reference"/>
    <w:basedOn w:val="DefaultParagraphFont"/>
    <w:uiPriority w:val="99"/>
    <w:semiHidden/>
    <w:unhideWhenUsed/>
    <w:rsid w:val="00870A0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fc.org/wps/wcm/connect/bf16179f-e8f1-4261-81ac-2937ee26286f/CG_Progression_Matrix_SME_043019.pdf?MOD=AJPERES&amp;CVID=mGb2MKh" TargetMode="External"/><Relationship Id="rId2" Type="http://schemas.openxmlformats.org/officeDocument/2006/relationships/hyperlink" Target="http://cgdevelopmentframework.com/wp-content/uploads/2017/07/SME-Governance-Assessment-Tool-Beta-Jun17.pdf" TargetMode="External"/><Relationship Id="rId1" Type="http://schemas.openxmlformats.org/officeDocument/2006/relationships/hyperlink" Target="https://www.oecd-ilibrary.org/governance/g20-oecd-principles-of-corporate-governance-2015_9789264236882-en;jsessionid=jv2rnXwhg1CgB3gH8z9F8Xsc.ip-10-240-5-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PC34Uq6Daw54xLjtw8t/A584pQ==">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6771</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victoria lungu</cp:lastModifiedBy>
  <cp:revision>2</cp:revision>
  <dcterms:created xsi:type="dcterms:W3CDTF">2021-08-16T12:26:00Z</dcterms:created>
  <dcterms:modified xsi:type="dcterms:W3CDTF">2021-08-16T12:26:00Z</dcterms:modified>
</cp:coreProperties>
</file>