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0A5D" w14:textId="7DBA1A85" w:rsidR="00E63E37" w:rsidRPr="0092010F" w:rsidRDefault="0092010F" w:rsidP="00E63E37">
      <w:pPr>
        <w:pStyle w:val="Heading1"/>
        <w:ind w:left="-426"/>
        <w:rPr>
          <w:sz w:val="22"/>
          <w:lang w:val="ro-RO"/>
        </w:rPr>
      </w:pPr>
      <w:r w:rsidRPr="0092010F">
        <w:rPr>
          <w:lang w:val="ro-RO"/>
        </w:rPr>
        <w:t>Procesele restructurării</w:t>
      </w:r>
      <w:r w:rsidR="00E63E37" w:rsidRPr="0092010F">
        <w:rPr>
          <w:lang w:val="ro-RO"/>
        </w:rPr>
        <w:t xml:space="preserve">: </w:t>
      </w:r>
      <w:r w:rsidRPr="0092010F">
        <w:rPr>
          <w:lang w:val="ro-RO"/>
        </w:rPr>
        <w:t>Opțiuni și efecte ilustrative</w:t>
      </w:r>
    </w:p>
    <w:p w14:paraId="23F77851" w14:textId="498A1C4F" w:rsidR="00A36572" w:rsidRPr="0092010F" w:rsidRDefault="00A36572">
      <w:pPr>
        <w:rPr>
          <w:sz w:val="22"/>
          <w:lang w:val="ro-RO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133"/>
        <w:gridCol w:w="3574"/>
        <w:gridCol w:w="1784"/>
        <w:gridCol w:w="1910"/>
        <w:gridCol w:w="1415"/>
        <w:gridCol w:w="3543"/>
      </w:tblGrid>
      <w:tr w:rsidR="00A36572" w:rsidRPr="0092010F" w14:paraId="5D47C772" w14:textId="77777777" w:rsidTr="0092010F">
        <w:trPr>
          <w:trHeight w:val="829"/>
        </w:trPr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0754028" w14:textId="77777777" w:rsidR="00A36572" w:rsidRPr="0092010F" w:rsidRDefault="00A36572" w:rsidP="004907F3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</w:p>
        </w:tc>
        <w:tc>
          <w:tcPr>
            <w:tcW w:w="3574" w:type="dxa"/>
            <w:shd w:val="clear" w:color="auto" w:fill="1F3864" w:themeFill="accent1" w:themeFillShade="80"/>
          </w:tcPr>
          <w:p w14:paraId="2D2ADC0E" w14:textId="0B1BC5EE" w:rsidR="00A36572" w:rsidRPr="0092010F" w:rsidRDefault="0092010F" w:rsidP="004907F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92010F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Opțiune</w:t>
            </w:r>
          </w:p>
        </w:tc>
        <w:tc>
          <w:tcPr>
            <w:tcW w:w="1784" w:type="dxa"/>
            <w:shd w:val="clear" w:color="auto" w:fill="1F3864" w:themeFill="accent1" w:themeFillShade="80"/>
          </w:tcPr>
          <w:p w14:paraId="6048CE4A" w14:textId="1A960419" w:rsidR="00A36572" w:rsidRPr="0092010F" w:rsidRDefault="0092010F" w:rsidP="004907F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92010F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Costul estimat</w:t>
            </w:r>
          </w:p>
        </w:tc>
        <w:tc>
          <w:tcPr>
            <w:tcW w:w="0" w:type="auto"/>
            <w:shd w:val="clear" w:color="auto" w:fill="1F3864" w:themeFill="accent1" w:themeFillShade="80"/>
          </w:tcPr>
          <w:p w14:paraId="641EE3FB" w14:textId="08517EC8" w:rsidR="00A36572" w:rsidRPr="0092010F" w:rsidRDefault="0092010F" w:rsidP="004907F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92010F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Timpul estimat</w:t>
            </w:r>
          </w:p>
        </w:tc>
        <w:tc>
          <w:tcPr>
            <w:tcW w:w="0" w:type="auto"/>
            <w:shd w:val="clear" w:color="auto" w:fill="1F3864" w:themeFill="accent1" w:themeFillShade="80"/>
          </w:tcPr>
          <w:p w14:paraId="101CF658" w14:textId="0E1F2BA0" w:rsidR="00A36572" w:rsidRPr="0092010F" w:rsidRDefault="0092010F" w:rsidP="004907F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92010F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Dificultate</w:t>
            </w:r>
          </w:p>
        </w:tc>
        <w:tc>
          <w:tcPr>
            <w:tcW w:w="0" w:type="auto"/>
            <w:shd w:val="clear" w:color="auto" w:fill="1F3864" w:themeFill="accent1" w:themeFillShade="80"/>
          </w:tcPr>
          <w:p w14:paraId="42233F7F" w14:textId="4F14DBCF" w:rsidR="00A36572" w:rsidRPr="000C6410" w:rsidRDefault="0092010F" w:rsidP="004907F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92010F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 xml:space="preserve">Impact </w:t>
            </w:r>
            <w:r w:rsidR="000C6410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asupra reputației</w:t>
            </w:r>
          </w:p>
        </w:tc>
      </w:tr>
      <w:tr w:rsidR="001C308B" w:rsidRPr="0092010F" w14:paraId="5AA1C660" w14:textId="77777777" w:rsidTr="007F5DE6">
        <w:trPr>
          <w:cantSplit/>
          <w:trHeight w:val="2375"/>
        </w:trPr>
        <w:tc>
          <w:tcPr>
            <w:tcW w:w="1133" w:type="dxa"/>
            <w:shd w:val="clear" w:color="auto" w:fill="8EAADB" w:themeFill="accent1" w:themeFillTint="99"/>
            <w:textDirection w:val="btLr"/>
          </w:tcPr>
          <w:p w14:paraId="25BB583A" w14:textId="4C29A609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  <w:r w:rsidRPr="0092010F">
              <w:rPr>
                <w:b/>
                <w:bCs/>
                <w:sz w:val="22"/>
                <w:lang w:val="ro-RO"/>
              </w:rPr>
              <w:t>Restructurare</w:t>
            </w:r>
            <w:r w:rsidR="007F5DE6">
              <w:rPr>
                <w:b/>
                <w:bCs/>
                <w:sz w:val="22"/>
                <w:lang w:val="ro-RO"/>
              </w:rPr>
              <w:t>a</w:t>
            </w:r>
            <w:r w:rsidRPr="0092010F">
              <w:rPr>
                <w:b/>
                <w:bCs/>
                <w:sz w:val="22"/>
                <w:lang w:val="ro-RO"/>
              </w:rPr>
              <w:t xml:space="preserve"> operațională a </w:t>
            </w:r>
            <w:r w:rsidR="007F5DE6">
              <w:rPr>
                <w:b/>
                <w:bCs/>
                <w:sz w:val="22"/>
                <w:lang w:val="ro-RO"/>
              </w:rPr>
              <w:t>întreprinderii</w:t>
            </w: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1F346D8F" w14:textId="05E33F80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 w:rsidRPr="006F1E63">
              <w:rPr>
                <w:sz w:val="22"/>
                <w:highlight w:val="green"/>
                <w:lang w:val="ro-RO"/>
              </w:rPr>
              <w:t>Restructurare</w:t>
            </w:r>
            <w:r w:rsidRPr="0092010F">
              <w:rPr>
                <w:sz w:val="22"/>
                <w:lang w:val="ro-RO"/>
              </w:rPr>
              <w:t xml:space="preserve"> operațională</w:t>
            </w:r>
          </w:p>
        </w:tc>
        <w:tc>
          <w:tcPr>
            <w:tcW w:w="1784" w:type="dxa"/>
            <w:vAlign w:val="center"/>
          </w:tcPr>
          <w:p w14:paraId="395BBB2D" w14:textId="1C1AF17D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</w:t>
            </w:r>
          </w:p>
        </w:tc>
        <w:tc>
          <w:tcPr>
            <w:tcW w:w="0" w:type="auto"/>
            <w:vAlign w:val="center"/>
          </w:tcPr>
          <w:p w14:paraId="0F2877FB" w14:textId="5505ECEB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</w:t>
            </w:r>
          </w:p>
        </w:tc>
        <w:tc>
          <w:tcPr>
            <w:tcW w:w="0" w:type="auto"/>
            <w:vAlign w:val="center"/>
          </w:tcPr>
          <w:p w14:paraId="1E8F885D" w14:textId="472A8CE3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</w:t>
            </w:r>
            <w:r w:rsidR="00883050">
              <w:rPr>
                <w:sz w:val="22"/>
                <w:lang w:val="ro-RO"/>
              </w:rPr>
              <w:t>e</w:t>
            </w:r>
            <w:r w:rsidRPr="0092010F">
              <w:rPr>
                <w:sz w:val="22"/>
                <w:lang w:val="ro-RO"/>
              </w:rPr>
              <w:t>/</w:t>
            </w:r>
            <w:r>
              <w:rPr>
                <w:sz w:val="22"/>
                <w:lang w:val="ro-RO"/>
              </w:rPr>
              <w:t>înalt</w:t>
            </w:r>
            <w:r w:rsidR="00883050">
              <w:rPr>
                <w:sz w:val="22"/>
                <w:lang w:val="ro-RO"/>
              </w:rPr>
              <w:t>ă</w:t>
            </w:r>
          </w:p>
        </w:tc>
        <w:tc>
          <w:tcPr>
            <w:tcW w:w="0" w:type="auto"/>
            <w:vAlign w:val="center"/>
          </w:tcPr>
          <w:p w14:paraId="036F29C3" w14:textId="240655B7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Redus</w:t>
            </w:r>
          </w:p>
        </w:tc>
      </w:tr>
      <w:tr w:rsidR="001C308B" w:rsidRPr="0092010F" w14:paraId="04FBEAD0" w14:textId="77777777" w:rsidTr="0092010F">
        <w:trPr>
          <w:trHeight w:val="556"/>
        </w:trPr>
        <w:tc>
          <w:tcPr>
            <w:tcW w:w="1133" w:type="dxa"/>
            <w:vMerge w:val="restart"/>
            <w:shd w:val="clear" w:color="auto" w:fill="8EAADB" w:themeFill="accent1" w:themeFillTint="99"/>
            <w:textDirection w:val="btLr"/>
          </w:tcPr>
          <w:p w14:paraId="28E60216" w14:textId="74D38706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  <w:bookmarkStart w:id="0" w:name="_GoBack"/>
            <w:r w:rsidRPr="0092010F">
              <w:rPr>
                <w:b/>
                <w:bCs/>
                <w:sz w:val="22"/>
                <w:lang w:val="ro-RO"/>
              </w:rPr>
              <w:t>Restructurare</w:t>
            </w:r>
            <w:r w:rsidR="007F5DE6">
              <w:rPr>
                <w:b/>
                <w:bCs/>
                <w:sz w:val="22"/>
                <w:lang w:val="ro-RO"/>
              </w:rPr>
              <w:t>a</w:t>
            </w:r>
            <w:r w:rsidRPr="0092010F">
              <w:rPr>
                <w:b/>
                <w:bCs/>
                <w:sz w:val="22"/>
                <w:lang w:val="ro-RO"/>
              </w:rPr>
              <w:t xml:space="preserve"> </w:t>
            </w:r>
            <w:bookmarkEnd w:id="0"/>
            <w:r w:rsidRPr="0092010F">
              <w:rPr>
                <w:b/>
                <w:bCs/>
                <w:sz w:val="22"/>
                <w:lang w:val="ro-RO"/>
              </w:rPr>
              <w:t xml:space="preserve">financiară a </w:t>
            </w:r>
            <w:r w:rsidR="007F5DE6">
              <w:rPr>
                <w:b/>
                <w:bCs/>
                <w:sz w:val="22"/>
                <w:lang w:val="ro-RO"/>
              </w:rPr>
              <w:t>întreprinderii</w:t>
            </w: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1AEADB57" w14:textId="03EAF226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Vânzare parțială sau integrală</w:t>
            </w:r>
          </w:p>
        </w:tc>
        <w:tc>
          <w:tcPr>
            <w:tcW w:w="1784" w:type="dxa"/>
            <w:vAlign w:val="center"/>
          </w:tcPr>
          <w:p w14:paraId="3EED47D0" w14:textId="4734B6EA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Mediu</w:t>
            </w:r>
          </w:p>
        </w:tc>
        <w:tc>
          <w:tcPr>
            <w:tcW w:w="0" w:type="auto"/>
            <w:vAlign w:val="center"/>
          </w:tcPr>
          <w:p w14:paraId="2FE8BAAC" w14:textId="0E601B5F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</w:p>
        </w:tc>
        <w:tc>
          <w:tcPr>
            <w:tcW w:w="0" w:type="auto"/>
            <w:vAlign w:val="center"/>
          </w:tcPr>
          <w:p w14:paraId="0E4E3699" w14:textId="466BBB6D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  <w:r w:rsidR="00883050">
              <w:rPr>
                <w:sz w:val="22"/>
                <w:lang w:val="ro-RO"/>
              </w:rPr>
              <w:t>ă</w:t>
            </w:r>
          </w:p>
        </w:tc>
        <w:tc>
          <w:tcPr>
            <w:tcW w:w="0" w:type="auto"/>
            <w:vAlign w:val="center"/>
          </w:tcPr>
          <w:p w14:paraId="69914473" w14:textId="36A257B6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Mediu</w:t>
            </w:r>
          </w:p>
        </w:tc>
      </w:tr>
      <w:tr w:rsidR="001C308B" w:rsidRPr="0092010F" w14:paraId="68827065" w14:textId="77777777" w:rsidTr="0092010F">
        <w:trPr>
          <w:trHeight w:val="578"/>
        </w:trPr>
        <w:tc>
          <w:tcPr>
            <w:tcW w:w="1133" w:type="dxa"/>
            <w:vMerge/>
            <w:shd w:val="clear" w:color="auto" w:fill="8EAADB" w:themeFill="accent1" w:themeFillTint="99"/>
            <w:textDirection w:val="btLr"/>
          </w:tcPr>
          <w:p w14:paraId="4F6BEAC7" w14:textId="77777777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7A1ABD7D" w14:textId="49FFD95A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Investitor sau partener de capital</w:t>
            </w:r>
          </w:p>
        </w:tc>
        <w:tc>
          <w:tcPr>
            <w:tcW w:w="1784" w:type="dxa"/>
            <w:vAlign w:val="center"/>
          </w:tcPr>
          <w:p w14:paraId="6EE46582" w14:textId="6C0F7D6A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Redus</w:t>
            </w:r>
          </w:p>
        </w:tc>
        <w:tc>
          <w:tcPr>
            <w:tcW w:w="0" w:type="auto"/>
            <w:vAlign w:val="center"/>
          </w:tcPr>
          <w:p w14:paraId="4B172B3B" w14:textId="4812DB2A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</w:p>
        </w:tc>
        <w:tc>
          <w:tcPr>
            <w:tcW w:w="0" w:type="auto"/>
            <w:vAlign w:val="center"/>
          </w:tcPr>
          <w:p w14:paraId="52E24BC7" w14:textId="2E023212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  <w:r w:rsidR="00883050">
              <w:rPr>
                <w:sz w:val="22"/>
                <w:lang w:val="ro-RO"/>
              </w:rPr>
              <w:t>ă</w:t>
            </w:r>
          </w:p>
        </w:tc>
        <w:tc>
          <w:tcPr>
            <w:tcW w:w="0" w:type="auto"/>
            <w:vAlign w:val="center"/>
          </w:tcPr>
          <w:p w14:paraId="4E81E6DC" w14:textId="0D0BAD2C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</w:t>
            </w:r>
          </w:p>
        </w:tc>
      </w:tr>
      <w:tr w:rsidR="001C308B" w:rsidRPr="0092010F" w14:paraId="62E801B3" w14:textId="77777777" w:rsidTr="0092010F">
        <w:trPr>
          <w:trHeight w:val="578"/>
        </w:trPr>
        <w:tc>
          <w:tcPr>
            <w:tcW w:w="1133" w:type="dxa"/>
            <w:vMerge/>
            <w:shd w:val="clear" w:color="auto" w:fill="8EAADB" w:themeFill="accent1" w:themeFillTint="99"/>
            <w:textDirection w:val="btLr"/>
          </w:tcPr>
          <w:p w14:paraId="6F1EB0CC" w14:textId="77777777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077187B6" w14:textId="517D0A4F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 w:rsidRPr="006F1E63">
              <w:rPr>
                <w:sz w:val="22"/>
                <w:highlight w:val="green"/>
                <w:lang w:val="ro-RO"/>
              </w:rPr>
              <w:t>Procedură extrajudiciară</w:t>
            </w:r>
            <w:r>
              <w:rPr>
                <w:sz w:val="22"/>
                <w:lang w:val="ro-RO"/>
              </w:rPr>
              <w:t xml:space="preserve"> </w:t>
            </w:r>
            <w:r w:rsidR="00883050">
              <w:rPr>
                <w:sz w:val="22"/>
                <w:lang w:val="ro-RO"/>
              </w:rPr>
              <w:t>de negociere</w:t>
            </w:r>
          </w:p>
        </w:tc>
        <w:tc>
          <w:tcPr>
            <w:tcW w:w="1784" w:type="dxa"/>
            <w:vAlign w:val="center"/>
          </w:tcPr>
          <w:p w14:paraId="296FFF80" w14:textId="6DF335CD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Redus</w:t>
            </w:r>
          </w:p>
        </w:tc>
        <w:tc>
          <w:tcPr>
            <w:tcW w:w="0" w:type="auto"/>
            <w:vAlign w:val="center"/>
          </w:tcPr>
          <w:p w14:paraId="48A995AF" w14:textId="0C697441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Medium</w:t>
            </w:r>
          </w:p>
        </w:tc>
        <w:tc>
          <w:tcPr>
            <w:tcW w:w="0" w:type="auto"/>
            <w:vAlign w:val="center"/>
          </w:tcPr>
          <w:p w14:paraId="2CE03FA7" w14:textId="46E95B81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</w:t>
            </w:r>
            <w:r w:rsidR="00883050">
              <w:rPr>
                <w:sz w:val="22"/>
                <w:lang w:val="ro-RO"/>
              </w:rPr>
              <w:t>e</w:t>
            </w:r>
            <w:r w:rsidRPr="0092010F">
              <w:rPr>
                <w:sz w:val="22"/>
                <w:lang w:val="ro-RO"/>
              </w:rPr>
              <w:t>/</w:t>
            </w:r>
            <w:r>
              <w:rPr>
                <w:sz w:val="22"/>
                <w:lang w:val="ro-RO"/>
              </w:rPr>
              <w:t>înalt</w:t>
            </w:r>
            <w:r w:rsidR="00883050">
              <w:rPr>
                <w:sz w:val="22"/>
                <w:lang w:val="ro-RO"/>
              </w:rPr>
              <w:t>ă</w:t>
            </w:r>
          </w:p>
        </w:tc>
        <w:tc>
          <w:tcPr>
            <w:tcW w:w="0" w:type="auto"/>
            <w:vAlign w:val="center"/>
          </w:tcPr>
          <w:p w14:paraId="31F6C4C8" w14:textId="356CACC7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Redus</w:t>
            </w:r>
            <w:r w:rsidRPr="0092010F">
              <w:rPr>
                <w:sz w:val="22"/>
                <w:lang w:val="ro-RO"/>
              </w:rPr>
              <w:t xml:space="preserve"> (</w:t>
            </w:r>
            <w:r>
              <w:rPr>
                <w:sz w:val="22"/>
                <w:lang w:val="ro-RO"/>
              </w:rPr>
              <w:t>în caz de</w:t>
            </w:r>
            <w:r w:rsidRPr="0092010F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confidențialitate</w:t>
            </w:r>
            <w:r w:rsidRPr="0092010F">
              <w:rPr>
                <w:sz w:val="22"/>
                <w:lang w:val="ro-RO"/>
              </w:rPr>
              <w:t>)</w:t>
            </w:r>
          </w:p>
        </w:tc>
      </w:tr>
      <w:tr w:rsidR="001C308B" w:rsidRPr="0092010F" w14:paraId="2E32F3BA" w14:textId="77777777" w:rsidTr="0092010F">
        <w:trPr>
          <w:trHeight w:val="638"/>
        </w:trPr>
        <w:tc>
          <w:tcPr>
            <w:tcW w:w="1133" w:type="dxa"/>
            <w:vMerge/>
            <w:shd w:val="clear" w:color="auto" w:fill="8EAADB" w:themeFill="accent1" w:themeFillTint="99"/>
            <w:textDirection w:val="btLr"/>
          </w:tcPr>
          <w:p w14:paraId="5749B0C5" w14:textId="77777777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410F4D02" w14:textId="6861B901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Reorganizare formală</w:t>
            </w:r>
          </w:p>
        </w:tc>
        <w:tc>
          <w:tcPr>
            <w:tcW w:w="1784" w:type="dxa"/>
            <w:vAlign w:val="center"/>
          </w:tcPr>
          <w:p w14:paraId="030A1E98" w14:textId="0168353D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</w:t>
            </w:r>
          </w:p>
        </w:tc>
        <w:tc>
          <w:tcPr>
            <w:tcW w:w="0" w:type="auto"/>
            <w:vAlign w:val="center"/>
          </w:tcPr>
          <w:p w14:paraId="36447108" w14:textId="15CF22AE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</w:t>
            </w:r>
          </w:p>
        </w:tc>
        <w:tc>
          <w:tcPr>
            <w:tcW w:w="0" w:type="auto"/>
            <w:vAlign w:val="center"/>
          </w:tcPr>
          <w:p w14:paraId="7AB10224" w14:textId="3C7C4624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</w:t>
            </w:r>
            <w:r w:rsidR="00883050">
              <w:rPr>
                <w:sz w:val="22"/>
                <w:lang w:val="ro-RO"/>
              </w:rPr>
              <w:t>e</w:t>
            </w:r>
          </w:p>
        </w:tc>
        <w:tc>
          <w:tcPr>
            <w:tcW w:w="0" w:type="auto"/>
            <w:vAlign w:val="center"/>
          </w:tcPr>
          <w:p w14:paraId="73AC25CC" w14:textId="1DA02CF0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</w:p>
        </w:tc>
      </w:tr>
      <w:tr w:rsidR="001C308B" w:rsidRPr="0092010F" w14:paraId="6A2F831D" w14:textId="77777777" w:rsidTr="0092010F">
        <w:trPr>
          <w:cantSplit/>
          <w:trHeight w:val="1772"/>
        </w:trPr>
        <w:tc>
          <w:tcPr>
            <w:tcW w:w="1133" w:type="dxa"/>
            <w:shd w:val="clear" w:color="auto" w:fill="8EAADB" w:themeFill="accent1" w:themeFillTint="99"/>
            <w:textDirection w:val="btLr"/>
          </w:tcPr>
          <w:p w14:paraId="79961015" w14:textId="1DD5454C" w:rsidR="001C308B" w:rsidRPr="0092010F" w:rsidRDefault="001C308B" w:rsidP="001C308B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bCs/>
                <w:sz w:val="22"/>
                <w:lang w:val="ro-RO"/>
              </w:rPr>
            </w:pPr>
            <w:r w:rsidRPr="0092010F">
              <w:rPr>
                <w:b/>
                <w:bCs/>
                <w:sz w:val="22"/>
                <w:lang w:val="ro-RO"/>
              </w:rPr>
              <w:t>Retragerea din afacer</w:t>
            </w:r>
            <w:r w:rsidR="007F5DE6">
              <w:rPr>
                <w:b/>
                <w:bCs/>
                <w:sz w:val="22"/>
                <w:lang w:val="ro-RO"/>
              </w:rPr>
              <w:t>i</w:t>
            </w:r>
          </w:p>
        </w:tc>
        <w:tc>
          <w:tcPr>
            <w:tcW w:w="3574" w:type="dxa"/>
            <w:shd w:val="clear" w:color="auto" w:fill="D9E2F3" w:themeFill="accent1" w:themeFillTint="33"/>
            <w:vAlign w:val="center"/>
          </w:tcPr>
          <w:p w14:paraId="0CF3F097" w14:textId="749DA913" w:rsidR="001C308B" w:rsidRPr="0092010F" w:rsidRDefault="001C308B" w:rsidP="001C308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2"/>
                <w:lang w:val="ro-RO"/>
              </w:rPr>
            </w:pPr>
            <w:r w:rsidRPr="003B68B9">
              <w:rPr>
                <w:sz w:val="22"/>
                <w:lang w:val="ro-RO"/>
              </w:rPr>
              <w:t>Lichidare formală</w:t>
            </w:r>
          </w:p>
        </w:tc>
        <w:tc>
          <w:tcPr>
            <w:tcW w:w="1784" w:type="dxa"/>
            <w:vAlign w:val="center"/>
          </w:tcPr>
          <w:p w14:paraId="0561872F" w14:textId="0AC748C8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Mediu/</w:t>
            </w:r>
            <w:r>
              <w:rPr>
                <w:sz w:val="22"/>
                <w:lang w:val="ro-RO"/>
              </w:rPr>
              <w:t>înalt</w:t>
            </w:r>
          </w:p>
        </w:tc>
        <w:tc>
          <w:tcPr>
            <w:tcW w:w="0" w:type="auto"/>
            <w:vAlign w:val="center"/>
          </w:tcPr>
          <w:p w14:paraId="098BBDA4" w14:textId="5D05174E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Mediu/</w:t>
            </w:r>
            <w:r>
              <w:rPr>
                <w:sz w:val="22"/>
                <w:lang w:val="ro-RO"/>
              </w:rPr>
              <w:t>înalt</w:t>
            </w:r>
          </w:p>
        </w:tc>
        <w:tc>
          <w:tcPr>
            <w:tcW w:w="0" w:type="auto"/>
            <w:vAlign w:val="center"/>
          </w:tcPr>
          <w:p w14:paraId="50F6EC75" w14:textId="69B3C01A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92010F">
              <w:rPr>
                <w:sz w:val="22"/>
                <w:lang w:val="ro-RO"/>
              </w:rPr>
              <w:t>Medi</w:t>
            </w:r>
            <w:r w:rsidR="00883050">
              <w:rPr>
                <w:sz w:val="22"/>
                <w:lang w:val="ro-RO"/>
              </w:rPr>
              <w:t>e</w:t>
            </w:r>
            <w:r w:rsidRPr="0092010F">
              <w:rPr>
                <w:sz w:val="22"/>
                <w:lang w:val="ro-RO"/>
              </w:rPr>
              <w:t>/</w:t>
            </w:r>
            <w:r>
              <w:rPr>
                <w:sz w:val="22"/>
                <w:lang w:val="ro-RO"/>
              </w:rPr>
              <w:t>înalt</w:t>
            </w:r>
            <w:r w:rsidR="00883050">
              <w:rPr>
                <w:sz w:val="22"/>
                <w:lang w:val="ro-RO"/>
              </w:rPr>
              <w:t>ă</w:t>
            </w:r>
          </w:p>
        </w:tc>
        <w:tc>
          <w:tcPr>
            <w:tcW w:w="0" w:type="auto"/>
            <w:vAlign w:val="center"/>
          </w:tcPr>
          <w:p w14:paraId="2BDA20F8" w14:textId="41CA4F34" w:rsidR="001C308B" w:rsidRPr="0092010F" w:rsidRDefault="001C308B" w:rsidP="001C308B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Înalt</w:t>
            </w:r>
          </w:p>
        </w:tc>
      </w:tr>
    </w:tbl>
    <w:p w14:paraId="02DD7044" w14:textId="77777777" w:rsidR="00E63E37" w:rsidRPr="0092010F" w:rsidRDefault="00E63E37" w:rsidP="00E63E37">
      <w:pPr>
        <w:pStyle w:val="ListParagraph"/>
        <w:spacing w:line="360" w:lineRule="auto"/>
        <w:ind w:left="0"/>
        <w:rPr>
          <w:sz w:val="22"/>
          <w:lang w:val="ro-RO"/>
        </w:rPr>
      </w:pPr>
    </w:p>
    <w:sectPr w:rsidR="00E63E37" w:rsidRPr="0092010F" w:rsidSect="00605F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E32A" w14:textId="77777777" w:rsidR="0083207F" w:rsidRDefault="0083207F" w:rsidP="004647FB">
      <w:pPr>
        <w:spacing w:after="0" w:line="240" w:lineRule="auto"/>
      </w:pPr>
      <w:r>
        <w:separator/>
      </w:r>
    </w:p>
  </w:endnote>
  <w:endnote w:type="continuationSeparator" w:id="0">
    <w:p w14:paraId="28C2C274" w14:textId="77777777" w:rsidR="0083207F" w:rsidRDefault="0083207F" w:rsidP="0046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DA41" w14:textId="77777777" w:rsidR="0083207F" w:rsidRDefault="0083207F" w:rsidP="004647FB">
      <w:pPr>
        <w:spacing w:after="0" w:line="240" w:lineRule="auto"/>
      </w:pPr>
      <w:r>
        <w:separator/>
      </w:r>
    </w:p>
  </w:footnote>
  <w:footnote w:type="continuationSeparator" w:id="0">
    <w:p w14:paraId="2210FDBB" w14:textId="77777777" w:rsidR="0083207F" w:rsidRDefault="0083207F" w:rsidP="0046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4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12F9"/>
    <w:multiLevelType w:val="hybridMultilevel"/>
    <w:tmpl w:val="0736F00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35AB"/>
    <w:multiLevelType w:val="hybridMultilevel"/>
    <w:tmpl w:val="B308C4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610CC"/>
    <w:rsid w:val="000C6410"/>
    <w:rsid w:val="000D4864"/>
    <w:rsid w:val="000E0730"/>
    <w:rsid w:val="001A0E2C"/>
    <w:rsid w:val="001C308B"/>
    <w:rsid w:val="001D2E14"/>
    <w:rsid w:val="00226D35"/>
    <w:rsid w:val="0024617E"/>
    <w:rsid w:val="00253491"/>
    <w:rsid w:val="003849E1"/>
    <w:rsid w:val="003B451E"/>
    <w:rsid w:val="003B68B9"/>
    <w:rsid w:val="004172E9"/>
    <w:rsid w:val="00451535"/>
    <w:rsid w:val="004647FB"/>
    <w:rsid w:val="0048689C"/>
    <w:rsid w:val="00492328"/>
    <w:rsid w:val="004C76A9"/>
    <w:rsid w:val="00605F38"/>
    <w:rsid w:val="00637243"/>
    <w:rsid w:val="00691D70"/>
    <w:rsid w:val="006B260B"/>
    <w:rsid w:val="006B27BC"/>
    <w:rsid w:val="006C3573"/>
    <w:rsid w:val="006C43D8"/>
    <w:rsid w:val="006F1E63"/>
    <w:rsid w:val="00761105"/>
    <w:rsid w:val="0079446B"/>
    <w:rsid w:val="007F5DE6"/>
    <w:rsid w:val="0083207F"/>
    <w:rsid w:val="008708E1"/>
    <w:rsid w:val="00883050"/>
    <w:rsid w:val="00903467"/>
    <w:rsid w:val="0092010F"/>
    <w:rsid w:val="00945D8B"/>
    <w:rsid w:val="009A7B6E"/>
    <w:rsid w:val="009D2E63"/>
    <w:rsid w:val="009E28B8"/>
    <w:rsid w:val="00A36572"/>
    <w:rsid w:val="00A94629"/>
    <w:rsid w:val="00B27D48"/>
    <w:rsid w:val="00B4731E"/>
    <w:rsid w:val="00B60260"/>
    <w:rsid w:val="00BA20A8"/>
    <w:rsid w:val="00BB7BCF"/>
    <w:rsid w:val="00BE289C"/>
    <w:rsid w:val="00BE6E6A"/>
    <w:rsid w:val="00C6155A"/>
    <w:rsid w:val="00C771EC"/>
    <w:rsid w:val="00C92E00"/>
    <w:rsid w:val="00D61C43"/>
    <w:rsid w:val="00D63209"/>
    <w:rsid w:val="00D72E94"/>
    <w:rsid w:val="00D75445"/>
    <w:rsid w:val="00DD60CC"/>
    <w:rsid w:val="00E63E37"/>
    <w:rsid w:val="00E91F01"/>
    <w:rsid w:val="00ED6F4D"/>
    <w:rsid w:val="00F40773"/>
    <w:rsid w:val="00F44841"/>
    <w:rsid w:val="00F528F2"/>
    <w:rsid w:val="00F65E41"/>
    <w:rsid w:val="00F910E0"/>
    <w:rsid w:val="00FA4CB1"/>
    <w:rsid w:val="00F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F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4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FB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4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FB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2021-02-10T02:42:00Z</dcterms:created>
  <dcterms:modified xsi:type="dcterms:W3CDTF">2021-07-13T11:39:00Z</dcterms:modified>
</cp:coreProperties>
</file>