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Recomandări privind gestionarea numerarului și a capitalului circulant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Gestionarea numerarului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Asigur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vizibilitate clară a numerarului în toate conturile bancare, dacă este cazul.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Înțelege cât de repede poate fi accesat și utilizat numerarul.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Există oare bani închiși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opțiuni disponibile pentru eliberarea acestor bani?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Capital circulant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Stabilește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furnizorii potențiali pentru aprovizionarea pe termen scurt dacă survine necesitatea de aprovizionare alternativă din cauza întreruperii lanțului de aprovizionare.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tl w:val="0"/>
        </w:rPr>
        <w:t xml:space="preserve">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condiții de plată se pot negocia cu furnizorii. </w:t>
      </w:r>
      <w:r w:rsidDel="00000000" w:rsidR="00000000" w:rsidRPr="00000000">
        <w:rPr>
          <w:rtl w:val="0"/>
        </w:rPr>
        <w:t xml:space="preserve">Analizează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poziția lor financiară și </w:t>
      </w:r>
      <w:r w:rsidDel="00000000" w:rsidR="00000000" w:rsidRPr="00000000">
        <w:rPr>
          <w:rtl w:val="0"/>
        </w:rPr>
        <w:t xml:space="preserve">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pune în pericol relațiile valoroase!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onsider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frecvența plăților și modul în care </w:t>
      </w:r>
      <w:r w:rsidDel="00000000" w:rsidR="00000000" w:rsidRPr="00000000">
        <w:rPr>
          <w:rtl w:val="0"/>
        </w:rPr>
        <w:t xml:space="preserve">acestea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 optimizat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Analizează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reanțele și ce măsuri pot fi </w:t>
      </w:r>
      <w:r w:rsidDel="00000000" w:rsidR="00000000" w:rsidRPr="00000000">
        <w:rPr>
          <w:rtl w:val="0"/>
        </w:rPr>
        <w:t xml:space="preserve">întreprinse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pentru a accelera încasările.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onsider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reducerile la plățile pe termen scurt pentru a genera mai rapid numerar.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Revizui</w:t>
      </w:r>
      <w:r w:rsidDel="00000000" w:rsidR="00000000" w:rsidRPr="00000000">
        <w:rPr>
          <w:rtl w:val="0"/>
        </w:rPr>
        <w:t xml:space="preserve">ește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strategia de gestionare a stocurilor - </w:t>
      </w:r>
      <w:r w:rsidDel="00000000" w:rsidR="00000000" w:rsidRPr="00000000">
        <w:rPr>
          <w:rtl w:val="0"/>
        </w:rPr>
        <w:t xml:space="preserve">determină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cantitățile minime de comandă, frecvența comenzilor și corespunderea cu nivelurile rulajelor stocului.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Planificarea lichidităților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amploarea și calendarul oricăror deficiențe de numerar, astfel încât să po</w:t>
      </w:r>
      <w:r w:rsidDel="00000000" w:rsidR="00000000" w:rsidRPr="00000000">
        <w:rPr>
          <w:rtl w:val="0"/>
        </w:rPr>
        <w:t xml:space="preserve">ți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reacționa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adecvat pentru a furniza fonduri suplimentare</w:t>
      </w:r>
      <w:r w:rsidDel="00000000" w:rsidR="00000000" w:rsidRPr="00000000">
        <w:rPr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</w:t>
      </w:r>
      <w:r w:rsidDel="00000000" w:rsidR="00000000" w:rsidRPr="00000000">
        <w:rPr>
          <w:rtl w:val="0"/>
        </w:rPr>
        <w:t xml:space="preserve">itate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Identifică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sursele de risc împreună cu impactul și probabilitatea de apariție (cum ar fi fluxul de numerar operațional sau capacitatea de a accesa fluxul de numerar).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nalizează fluxul de numerar real față de ce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prognozat, zilnic sau săptămânal (în funcție de circumstanțe) pentru a înțelege variațiile.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Comunică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regulat cu </w:t>
      </w:r>
      <w:r w:rsidDel="00000000" w:rsidR="00000000" w:rsidRPr="00000000">
        <w:rPr>
          <w:rtl w:val="0"/>
        </w:rPr>
        <w:t xml:space="preserve">echipa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pentru a înțelege și a reflecta orice schimbare a fluxului de numerar.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Efectu</w:t>
      </w:r>
      <w:r w:rsidDel="00000000" w:rsidR="00000000" w:rsidRPr="00000000">
        <w:rPr>
          <w:rtl w:val="0"/>
        </w:rPr>
        <w:t xml:space="preserve">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simulări în situații de criză (analiz</w:t>
      </w:r>
      <w:r w:rsidDel="00000000" w:rsidR="00000000" w:rsidRPr="00000000">
        <w:rPr>
          <w:rtl w:val="0"/>
        </w:rPr>
        <w:t xml:space="preserve">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sensibilitatea scenariului)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[Link către modulul Financiar – Gestionarea Riscurilor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ale previziunilor pe termen scurt și lung,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factor</w:t>
      </w:r>
      <w:r w:rsidDel="00000000" w:rsidR="00000000" w:rsidRPr="00000000">
        <w:rPr>
          <w:rtl w:val="0"/>
        </w:rPr>
        <w:t xml:space="preserve">ii ce determină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veniturile și lanțul de aprovizionare.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Pregătește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planuri de urgență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[Link to Business Strategy]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 baza rezultatelor testării situațiilor de criză.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Consideră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alți factori și </w:t>
      </w:r>
      <w:r w:rsidDel="00000000" w:rsidR="00000000" w:rsidRPr="00000000">
        <w:rPr>
          <w:rtl w:val="0"/>
        </w:rPr>
        <w:t xml:space="preserve">fluxuri de numerar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(cheltuieli de capital, încasări din vânzare, sezonalitate, domenii de activitate sau activități sistate).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</w:t>
      </w:r>
      <w:r w:rsidDel="00000000" w:rsidR="00000000" w:rsidRPr="00000000">
        <w:rPr>
          <w:rtl w:val="0"/>
        </w:rPr>
        <w:t xml:space="preserve">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tl w:val="0"/>
        </w:rPr>
        <w:t xml:space="preserve">strategie în privința atitudinii față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numerar în cadrul </w:t>
      </w:r>
      <w:r w:rsidDel="00000000" w:rsidR="00000000" w:rsidRPr="00000000">
        <w:rPr>
          <w:rtl w:val="0"/>
        </w:rPr>
        <w:t xml:space="preserve">întreprinderii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pentru a asigura un obiectiv comun.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Accesul la finanțare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</w:t>
      </w:r>
      <w:r w:rsidDel="00000000" w:rsidR="00000000" w:rsidRPr="00000000">
        <w:rPr>
          <w:rtl w:val="0"/>
        </w:rPr>
        <w:t xml:space="preserve">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facilitățile actuale de </w:t>
      </w:r>
      <w:r w:rsidDel="00000000" w:rsidR="00000000" w:rsidRPr="00000000">
        <w:rPr>
          <w:rtl w:val="0"/>
        </w:rPr>
        <w:t xml:space="preserve">finanțare, disponibilitatea acestora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pentru utilizare și </w:t>
      </w:r>
      <w:r w:rsidDel="00000000" w:rsidR="00000000" w:rsidRPr="00000000">
        <w:rPr>
          <w:rtl w:val="0"/>
        </w:rPr>
        <w:t xml:space="preserve">diferențierea acestora din punct de vedere a condițiilor de creditare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Menține </w:t>
      </w:r>
      <w:r w:rsidDel="00000000" w:rsidR="00000000" w:rsidRPr="00000000">
        <w:rPr>
          <w:rtl w:val="0"/>
        </w:rPr>
        <w:t xml:space="preserve">comunicare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deschisă cu finanțatorii pentru a </w:t>
      </w:r>
      <w:r w:rsidDel="00000000" w:rsidR="00000000" w:rsidRPr="00000000">
        <w:rPr>
          <w:rtl w:val="0"/>
        </w:rPr>
        <w:t xml:space="preserve">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asigura că există un angajament continuu de finanțare suficien</w:t>
      </w:r>
      <w:r w:rsidDel="00000000" w:rsidR="00000000" w:rsidRPr="00000000">
        <w:rPr>
          <w:rtl w:val="0"/>
        </w:rPr>
        <w:t xml:space="preserve">tă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Clarifică condițiile de preaviz în cazul retragerii creditelor de tip revolving.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Contactează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finanț</w:t>
      </w:r>
      <w:r w:rsidDel="00000000" w:rsidR="00000000" w:rsidRPr="00000000">
        <w:rPr>
          <w:rtl w:val="0"/>
        </w:rPr>
        <w:t xml:space="preserve">atorii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și solicit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consiliere profesională independentă în cazul în care există o preocupare privind plata datoriilor curente.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Alte Aspecte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onsider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sprijinul oferit de către guvern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[Link către Finanțare - Solicitați asistență guvernamentală]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Investighează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soluții alternative de finanțare, cum ar fi finanțarea lanțului de aprovizionare, achiziționarea cardurilor, vânzarea și leasingul.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Acord</w:t>
      </w:r>
      <w:r w:rsidDel="00000000" w:rsidR="00000000" w:rsidRPr="00000000">
        <w:rPr>
          <w:rtl w:val="0"/>
        </w:rPr>
        <w:t xml:space="preserve">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atenție deosebită contractelor cu clienții </w:t>
      </w:r>
      <w:r w:rsidDel="00000000" w:rsidR="00000000" w:rsidRPr="00000000">
        <w:rPr>
          <w:rtl w:val="0"/>
        </w:rPr>
        <w:t xml:space="preserve">referitor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creanț</w:t>
      </w:r>
      <w:r w:rsidDel="00000000" w:rsidR="00000000" w:rsidRPr="00000000">
        <w:rPr>
          <w:rtl w:val="0"/>
        </w:rPr>
        <w:t xml:space="preserve">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actuale, determină  c</w:t>
      </w:r>
      <w:r w:rsidDel="00000000" w:rsidR="00000000" w:rsidRPr="00000000">
        <w:rPr>
          <w:rtl w:val="0"/>
        </w:rPr>
        <w:t xml:space="preserve">e măsuri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 aplica în caz de neplată.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atac cibernetic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[Link către Digitalizare]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poate duce direct sau indirect la pierderi semnificative de numerar. </w:t>
      </w:r>
      <w:r w:rsidDel="00000000" w:rsidR="00000000" w:rsidRPr="00000000">
        <w:rPr>
          <w:rtl w:val="0"/>
        </w:rPr>
        <w:t xml:space="preserve">Fii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vigilen</w:t>
      </w:r>
      <w:r w:rsidDel="00000000" w:rsidR="00000000" w:rsidRPr="00000000">
        <w:rPr>
          <w:rtl w:val="0"/>
        </w:rPr>
        <w:t xml:space="preserve">t și asigură vigilența echipei tale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—"/>
      <w:lvlJc w:val="left"/>
      <w:pPr>
        <w:ind w:left="340" w:hanging="34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—"/>
      <w:lvlJc w:val="left"/>
      <w:pPr>
        <w:ind w:left="340" w:hanging="34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—"/>
      <w:lvlJc w:val="left"/>
      <w:pPr>
        <w:ind w:left="340" w:hanging="34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—"/>
      <w:lvlJc w:val="left"/>
      <w:pPr>
        <w:ind w:left="340" w:hanging="34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—"/>
      <w:lvlJc w:val="left"/>
      <w:pPr>
        <w:ind w:left="340" w:hanging="340"/>
      </w:pPr>
      <w:rPr>
        <w:rFonts w:ascii="Arial" w:cs="Arial" w:eastAsia="Arial" w:hAnsi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6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60FD0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en-IE" w:eastAsia="en-IE" w:val="en-IE"/>
    </w:rPr>
  </w:style>
  <w:style w:type="paragraph" w:styleId="1">
    <w:name w:val="heading 1"/>
    <w:basedOn w:val="a"/>
    <w:link w:val="10"/>
    <w:uiPriority w:val="9"/>
    <w:qFormat w:val="1"/>
    <w:rsid w:val="00D60FD0"/>
    <w:pPr>
      <w:ind w:left="126"/>
      <w:outlineLvl w:val="0"/>
    </w:pPr>
    <w:rPr>
      <w:rFonts w:asciiTheme="minorHAnsi" w:hAnsiTheme="minorHAnsi"/>
      <w:bCs w:val="1"/>
      <w:color w:val="2f5496" w:themeColor="accent1" w:themeShade="0000BF"/>
      <w:sz w:val="32"/>
      <w:szCs w:val="18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D60FD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60FD0"/>
    <w:rPr>
      <w:rFonts w:cs="Arial" w:eastAsia="Arial"/>
      <w:bCs w:val="1"/>
      <w:color w:val="2f5496" w:themeColor="accent1" w:themeShade="0000BF"/>
      <w:sz w:val="32"/>
      <w:szCs w:val="18"/>
      <w:lang w:bidi="en-IE" w:eastAsia="en-IE" w:val="en-IE"/>
    </w:rPr>
  </w:style>
  <w:style w:type="paragraph" w:styleId="a3">
    <w:name w:val="Body Text"/>
    <w:basedOn w:val="a"/>
    <w:link w:val="a4"/>
    <w:uiPriority w:val="1"/>
    <w:qFormat w:val="1"/>
    <w:rsid w:val="00D60FD0"/>
    <w:pPr>
      <w:spacing w:before="6"/>
    </w:pPr>
    <w:rPr>
      <w:sz w:val="12"/>
      <w:szCs w:val="12"/>
    </w:rPr>
  </w:style>
  <w:style w:type="character" w:styleId="a4" w:customStyle="1">
    <w:name w:val="Основной текст Знак"/>
    <w:basedOn w:val="a0"/>
    <w:link w:val="a3"/>
    <w:uiPriority w:val="1"/>
    <w:rsid w:val="00D60FD0"/>
    <w:rPr>
      <w:rFonts w:ascii="Arial" w:cs="Arial" w:eastAsia="Arial" w:hAnsi="Arial"/>
      <w:sz w:val="12"/>
      <w:szCs w:val="12"/>
      <w:lang w:bidi="en-IE" w:eastAsia="en-IE" w:val="en-IE"/>
    </w:rPr>
  </w:style>
  <w:style w:type="paragraph" w:styleId="TableParagraph" w:customStyle="1">
    <w:name w:val="Table Paragraph"/>
    <w:basedOn w:val="a"/>
    <w:uiPriority w:val="1"/>
    <w:qFormat w:val="1"/>
    <w:rsid w:val="00D60FD0"/>
    <w:pPr>
      <w:spacing w:before="75"/>
      <w:ind w:left="133"/>
    </w:pPr>
  </w:style>
  <w:style w:type="character" w:styleId="20" w:customStyle="1">
    <w:name w:val="Заголовок 2 Знак"/>
    <w:basedOn w:val="a0"/>
    <w:link w:val="2"/>
    <w:uiPriority w:val="9"/>
    <w:rsid w:val="00D60FD0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bidi="en-IE" w:eastAsia="en-IE" w:val="en-IE"/>
    </w:rPr>
  </w:style>
  <w:style w:type="paragraph" w:styleId="a5">
    <w:name w:val="List Paragraph"/>
    <w:basedOn w:val="a"/>
    <w:uiPriority w:val="34"/>
    <w:qFormat w:val="1"/>
    <w:rsid w:val="00D60FD0"/>
    <w:pPr>
      <w:ind w:left="720"/>
      <w:contextualSpacing w:val="1"/>
    </w:pPr>
  </w:style>
  <w:style w:type="paragraph" w:styleId="a6">
    <w:name w:val="Balloon Text"/>
    <w:basedOn w:val="a"/>
    <w:link w:val="a7"/>
    <w:uiPriority w:val="99"/>
    <w:semiHidden w:val="1"/>
    <w:unhideWhenUsed w:val="1"/>
    <w:rsid w:val="007232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72320C"/>
    <w:rPr>
      <w:rFonts w:ascii="Segoe UI" w:cs="Segoe UI" w:eastAsia="Arial" w:hAnsi="Segoe UI"/>
      <w:sz w:val="18"/>
      <w:szCs w:val="18"/>
      <w:lang w:bidi="en-IE" w:eastAsia="en-IE" w:val="en-IE"/>
    </w:rPr>
  </w:style>
  <w:style w:type="paragraph" w:styleId="a8">
    <w:name w:val="header"/>
    <w:basedOn w:val="a"/>
    <w:link w:val="a9"/>
    <w:uiPriority w:val="99"/>
    <w:unhideWhenUsed w:val="1"/>
    <w:rsid w:val="00566BAB"/>
    <w:pPr>
      <w:tabs>
        <w:tab w:val="center" w:pos="4252"/>
        <w:tab w:val="right" w:pos="8504"/>
      </w:tabs>
    </w:pPr>
  </w:style>
  <w:style w:type="character" w:styleId="a9" w:customStyle="1">
    <w:name w:val="Верхний колонтитул Знак"/>
    <w:basedOn w:val="a0"/>
    <w:link w:val="a8"/>
    <w:uiPriority w:val="99"/>
    <w:rsid w:val="00566BAB"/>
    <w:rPr>
      <w:rFonts w:ascii="Arial" w:cs="Arial" w:eastAsia="Arial" w:hAnsi="Arial"/>
      <w:lang w:bidi="en-IE" w:eastAsia="en-IE" w:val="en-IE"/>
    </w:rPr>
  </w:style>
  <w:style w:type="paragraph" w:styleId="aa">
    <w:name w:val="footer"/>
    <w:basedOn w:val="a"/>
    <w:link w:val="ab"/>
    <w:uiPriority w:val="99"/>
    <w:unhideWhenUsed w:val="1"/>
    <w:rsid w:val="00566BAB"/>
    <w:pPr>
      <w:tabs>
        <w:tab w:val="center" w:pos="4252"/>
        <w:tab w:val="right" w:pos="8504"/>
      </w:tabs>
    </w:pPr>
  </w:style>
  <w:style w:type="character" w:styleId="ab" w:customStyle="1">
    <w:name w:val="Нижний колонтитул Знак"/>
    <w:basedOn w:val="a0"/>
    <w:link w:val="aa"/>
    <w:uiPriority w:val="99"/>
    <w:rsid w:val="00566BAB"/>
    <w:rPr>
      <w:rFonts w:ascii="Arial" w:cs="Arial" w:eastAsia="Arial" w:hAnsi="Arial"/>
      <w:lang w:bidi="en-IE" w:eastAsia="en-IE" w:val="en-I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UpyKnPiFRRD20EvpuT24aXKJA==">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2021-04-05T07:38:00Z</dcterms:created>
</cp:coreProperties>
</file>